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6A8AA" w14:textId="77777777" w:rsidR="007A56B3" w:rsidRDefault="007A56B3" w:rsidP="007A56B3">
      <w:pPr>
        <w:pStyle w:val="Title"/>
        <w:spacing w:after="0"/>
      </w:pPr>
      <w:r>
        <w:t>The History of Dining at MIT</w:t>
      </w:r>
    </w:p>
    <w:p w14:paraId="73514B42" w14:textId="77777777" w:rsidR="00B64E16" w:rsidRDefault="00DE4230" w:rsidP="001304C6">
      <w:pPr>
        <w:pStyle w:val="Heading1"/>
        <w:tabs>
          <w:tab w:val="right" w:pos="9270"/>
        </w:tabs>
        <w:spacing w:before="0" w:after="240"/>
      </w:pPr>
      <w:r>
        <w:t>Michael Plasmeier</w:t>
      </w:r>
      <w:r w:rsidR="001304C6">
        <w:tab/>
        <w:t>3/31/2010</w:t>
      </w:r>
      <w:r w:rsidR="00FC1C9D">
        <w:t xml:space="preserve"> Revised 5/4/2010</w:t>
      </w:r>
    </w:p>
    <w:p w14:paraId="10C12A73" w14:textId="0283A228" w:rsidR="00420B7A" w:rsidRDefault="00420B7A" w:rsidP="00420B7A">
      <w:pPr>
        <w:spacing w:line="480" w:lineRule="auto"/>
      </w:pPr>
      <w:r w:rsidRPr="00420B7A">
        <w:t xml:space="preserve">Dining has a long and torturous history at MIT.  </w:t>
      </w:r>
      <w:r>
        <w:t xml:space="preserve">While planning the new Cambridge campus, MIT’s administrators realized the need </w:t>
      </w:r>
      <w:r w:rsidR="00162BB2">
        <w:t>for a dining hall, both as an essential part of a residential system, and a</w:t>
      </w:r>
      <w:bookmarkStart w:id="0" w:name="_GoBack"/>
      <w:bookmarkEnd w:id="0"/>
      <w:r w:rsidR="00162BB2">
        <w:t xml:space="preserve">s a place where faculty and students could gather.  Ever since then, </w:t>
      </w:r>
      <w:r w:rsidR="00FC1C9D">
        <w:t xml:space="preserve">the Institute has struggled with </w:t>
      </w:r>
      <w:r w:rsidR="00FC1C9D" w:rsidRPr="00FC1C9D">
        <w:t>whether</w:t>
      </w:r>
      <w:r w:rsidR="00B22E5E">
        <w:t xml:space="preserve"> </w:t>
      </w:r>
      <w:r w:rsidR="005C004B">
        <w:t xml:space="preserve">dining </w:t>
      </w:r>
      <w:r w:rsidR="00FC1C9D">
        <w:t>was just a service, or if it serves other purposes</w:t>
      </w:r>
      <w:r w:rsidR="00162BB2">
        <w:t xml:space="preserve">.  </w:t>
      </w:r>
      <w:r w:rsidR="005C004B">
        <w:t>W</w:t>
      </w:r>
      <w:r w:rsidR="00162BB2">
        <w:t xml:space="preserve">hen MIT had more money, the system </w:t>
      </w:r>
      <w:r w:rsidR="005C004B">
        <w:t>grew to achieve more</w:t>
      </w:r>
      <w:r w:rsidR="00162BB2">
        <w:t xml:space="preserve"> social goals.  When money became tight, the system was pared back in order to break even.  MIT over-built the dining system in the 1960s, and </w:t>
      </w:r>
      <w:r w:rsidR="005C004B">
        <w:t>it remains</w:t>
      </w:r>
      <w:r w:rsidR="00B22E5E">
        <w:t xml:space="preserve"> </w:t>
      </w:r>
      <w:r w:rsidR="00162BB2">
        <w:t>startled</w:t>
      </w:r>
      <w:r w:rsidR="005C004B">
        <w:t xml:space="preserve"> between</w:t>
      </w:r>
      <w:r w:rsidR="00162BB2">
        <w:t xml:space="preserve"> centralized dining hall</w:t>
      </w:r>
      <w:r w:rsidR="005C004B">
        <w:t>s</w:t>
      </w:r>
      <w:r w:rsidR="00162BB2">
        <w:t xml:space="preserve"> and house dining.  </w:t>
      </w:r>
      <w:r w:rsidR="005C004B">
        <w:t xml:space="preserve">In the 1980s, MIT installed kitchens in east side dorms, </w:t>
      </w:r>
      <w:proofErr w:type="gramStart"/>
      <w:r w:rsidR="005C004B">
        <w:t>providing</w:t>
      </w:r>
      <w:proofErr w:type="gramEnd"/>
      <w:r w:rsidR="005C004B">
        <w:t xml:space="preserve"> an alternative to the dining hall.  </w:t>
      </w:r>
      <w:r w:rsidR="00162BB2">
        <w:t xml:space="preserve">As MIT became more diverse, student’s vision for the dining service became more diverse as well. </w:t>
      </w:r>
      <w:r w:rsidR="005C004B">
        <w:t>Some favored</w:t>
      </w:r>
      <w:r w:rsidR="00162BB2">
        <w:t xml:space="preserve"> unlimited buffet</w:t>
      </w:r>
      <w:r w:rsidR="005C004B">
        <w:t>s</w:t>
      </w:r>
      <w:r w:rsidR="00162BB2">
        <w:t>, while others saw it as a waste of money</w:t>
      </w:r>
      <w:r w:rsidR="005C004B">
        <w:t xml:space="preserve"> when they eat so little</w:t>
      </w:r>
      <w:r w:rsidR="00162BB2">
        <w:t xml:space="preserve">.  </w:t>
      </w:r>
      <w:r w:rsidR="00FC1C9D">
        <w:t xml:space="preserve">To attempt to reach </w:t>
      </w:r>
      <w:r w:rsidR="00B22E5E">
        <w:t>profitability</w:t>
      </w:r>
      <w:r w:rsidR="00FC1C9D">
        <w:t xml:space="preserve">, MIT has bounced between making aspects of the system mandatory and meeting student’s demand that programs remain voluntary. </w:t>
      </w:r>
      <w:r w:rsidR="005C004B">
        <w:t>MIT remains torn between its house dining halls, central dining facilities, and student kitchens, continuing them all due to diverse student demand</w:t>
      </w:r>
      <w:r w:rsidR="00FC1C9D">
        <w:t>.  But the demand for dining remains fixed</w:t>
      </w:r>
      <w:r w:rsidR="00B22E5E">
        <w:t xml:space="preserve">, thus leading </w:t>
      </w:r>
      <w:r w:rsidR="00FC1C9D">
        <w:t xml:space="preserve">to constant strife, committees, and reports </w:t>
      </w:r>
      <w:r w:rsidR="00B22E5E">
        <w:t xml:space="preserve">that </w:t>
      </w:r>
      <w:r w:rsidR="00FC1C9D">
        <w:t>attempt to get the system to break even while maintaining options.</w:t>
      </w:r>
    </w:p>
    <w:p w14:paraId="5D8640D6" w14:textId="7E805E91" w:rsidR="00DB1E6D" w:rsidRDefault="004D111F" w:rsidP="00DE4230">
      <w:pPr>
        <w:spacing w:line="480" w:lineRule="auto"/>
      </w:pPr>
      <w:r>
        <w:t xml:space="preserve">The history of dining at MIT’s Cambridge campus goes back to when the new campus was being planned.  </w:t>
      </w:r>
      <w:r w:rsidR="00FC1C9D">
        <w:t>A</w:t>
      </w:r>
      <w:r w:rsidR="007A56B3">
        <w:t xml:space="preserve"> commission was set up </w:t>
      </w:r>
      <w:r w:rsidR="00FC1C9D">
        <w:t xml:space="preserve">in 1913 </w:t>
      </w:r>
      <w:r w:rsidR="007A56B3">
        <w:t>to plan out student life on the new campus.</w:t>
      </w:r>
      <w:r w:rsidR="00E474EB">
        <w:rPr>
          <w:rStyle w:val="FootnoteReference"/>
        </w:rPr>
        <w:footnoteReference w:id="1"/>
      </w:r>
      <w:r w:rsidR="007A56B3">
        <w:t xml:space="preserve">MIT wanted to build </w:t>
      </w:r>
      <w:r>
        <w:t>two</w:t>
      </w:r>
      <w:r w:rsidR="007A56B3">
        <w:t xml:space="preserve"> separate facilities</w:t>
      </w:r>
      <w:r w:rsidR="00FC1C9D">
        <w:t xml:space="preserve"> at first</w:t>
      </w:r>
      <w:r w:rsidR="007A56B3">
        <w:t>: a large dining commons and the Walker Memorial, a gentleman’s club</w:t>
      </w:r>
      <w:r w:rsidR="002D43D1">
        <w:t>.</w:t>
      </w:r>
      <w:r w:rsidR="007A56B3">
        <w:rPr>
          <w:rStyle w:val="FootnoteReference"/>
        </w:rPr>
        <w:footnoteReference w:id="2"/>
      </w:r>
      <w:r w:rsidR="00B22E5E">
        <w:t xml:space="preserve">  </w:t>
      </w:r>
      <w:r w:rsidR="007A56B3">
        <w:t xml:space="preserve">The dining facilities were to be built a short walk away from the Walker Memorial and be </w:t>
      </w:r>
      <w:r w:rsidR="007A56B3">
        <w:lastRenderedPageBreak/>
        <w:t xml:space="preserve">connected by a walkway.  </w:t>
      </w:r>
      <w:r w:rsidR="00653DEF">
        <w:t>The dining</w:t>
      </w:r>
      <w:r w:rsidR="007A56B3">
        <w:t xml:space="preserve"> </w:t>
      </w:r>
      <w:r w:rsidR="00653DEF">
        <w:t xml:space="preserve">hall </w:t>
      </w:r>
      <w:r w:rsidR="007A56B3">
        <w:t>was to be large and centralized, in order to save money</w:t>
      </w:r>
      <w:r w:rsidR="00DB1E6D">
        <w:t xml:space="preserve"> and bring people together</w:t>
      </w:r>
      <w:r w:rsidR="007A56B3">
        <w:t>.</w:t>
      </w:r>
      <w:r w:rsidR="007A56B3">
        <w:rPr>
          <w:rStyle w:val="FootnoteReference"/>
        </w:rPr>
        <w:footnoteReference w:id="3"/>
      </w:r>
      <w:r w:rsidR="007A56B3">
        <w:t xml:space="preserve">  This was unlike some other schools, such as Harvard, where each House had its own dining hall.  There should have been a large dining room, as well as smaller rooms for groups, such as fraternities, to eat together.  It was thought that students would generally eat lunch together, while eating with </w:t>
      </w:r>
      <w:r w:rsidR="00DB1E6D">
        <w:t>one of the small groups they were part of for dinner.  In addition, there should have been a lunch counter</w:t>
      </w:r>
      <w:r w:rsidR="00F949D9">
        <w:t>,</w:t>
      </w:r>
      <w:r w:rsidR="00DB1E6D">
        <w:t xml:space="preserve"> as well as a place for students to heat meals that they brought from home.  Even at this early stage the planners realized that MIT presented “difficult and puzzling problems” </w:t>
      </w:r>
      <w:r w:rsidR="00F949D9">
        <w:t>and</w:t>
      </w:r>
      <w:r w:rsidR="00DB1E6D">
        <w:t xml:space="preserve"> that plans implemented at other universities </w:t>
      </w:r>
      <w:r w:rsidR="00F949D9">
        <w:t>would</w:t>
      </w:r>
      <w:r w:rsidR="00DB1E6D">
        <w:t xml:space="preserve"> not work at MIT. </w:t>
      </w:r>
    </w:p>
    <w:p w14:paraId="02724164" w14:textId="71C3A772" w:rsidR="00FA0BA9" w:rsidRDefault="00413488" w:rsidP="00DE4230">
      <w:pPr>
        <w:spacing w:line="480" w:lineRule="auto"/>
      </w:pPr>
      <w:r>
        <w:t>T</w:t>
      </w:r>
      <w:r w:rsidR="007A56B3">
        <w:t>he Walker Memorial</w:t>
      </w:r>
      <w:r>
        <w:t xml:space="preserve"> was to be similar to</w:t>
      </w:r>
      <w:r w:rsidR="00E474EB">
        <w:t xml:space="preserve"> a gentleman’s club, except “a man of limited means” would be able to “participate in the real privileges of Institute life.”</w:t>
      </w:r>
      <w:r w:rsidR="002D43D1">
        <w:t xml:space="preserve">  It was </w:t>
      </w:r>
      <w:r w:rsidR="007A56B3">
        <w:t xml:space="preserve">to be </w:t>
      </w:r>
      <w:r w:rsidR="0031671B">
        <w:t xml:space="preserve">named after </w:t>
      </w:r>
      <w:proofErr w:type="spellStart"/>
      <w:r w:rsidR="0031671B">
        <w:t>Fransis</w:t>
      </w:r>
      <w:proofErr w:type="spellEnd"/>
      <w:r w:rsidR="00653DEF">
        <w:t xml:space="preserve"> </w:t>
      </w:r>
      <w:proofErr w:type="spellStart"/>
      <w:r w:rsidR="0031671B">
        <w:t>Amasa</w:t>
      </w:r>
      <w:proofErr w:type="spellEnd"/>
      <w:r w:rsidR="002D43D1">
        <w:t xml:space="preserve"> Walker, the third president of MIT</w:t>
      </w:r>
      <w:r>
        <w:t>,</w:t>
      </w:r>
      <w:r w:rsidR="002D43D1">
        <w:t xml:space="preserve"> who had championed student life from 1881-1897.  </w:t>
      </w:r>
      <w:r w:rsidR="007A56B3">
        <w:t>In addition, the faculty pushed for a Grill</w:t>
      </w:r>
      <w:r>
        <w:t>,</w:t>
      </w:r>
      <w:r w:rsidR="007A56B3">
        <w:t xml:space="preserve"> or a nicer dining hall</w:t>
      </w:r>
      <w:r w:rsidR="00653DEF">
        <w:t xml:space="preserve"> in Walker</w:t>
      </w:r>
      <w:r>
        <w:t>,</w:t>
      </w:r>
      <w:r w:rsidR="007A56B3">
        <w:t xml:space="preserve"> where they could bring guests.</w:t>
      </w:r>
      <w:r w:rsidR="007A56B3">
        <w:rPr>
          <w:rStyle w:val="FootnoteReference"/>
        </w:rPr>
        <w:footnoteReference w:id="4"/>
      </w:r>
      <w:r w:rsidR="007A56B3">
        <w:t xml:space="preserve">  However, budget cuts </w:t>
      </w:r>
      <w:r w:rsidR="00653DEF">
        <w:t>forced the Institute to combine</w:t>
      </w:r>
      <w:r w:rsidR="007A56B3">
        <w:t xml:space="preserve"> the dining room and the gymnasium into the Walker Memorial.  </w:t>
      </w:r>
      <w:r w:rsidR="002D43D1">
        <w:t xml:space="preserve">Throughout </w:t>
      </w:r>
      <w:r w:rsidR="0031671B">
        <w:t xml:space="preserve">its </w:t>
      </w:r>
      <w:r w:rsidR="002D43D1">
        <w:t xml:space="preserve">history, the Walker Memorial had </w:t>
      </w:r>
      <w:proofErr w:type="spellStart"/>
      <w:r w:rsidR="002D43D1">
        <w:t>Morss</w:t>
      </w:r>
      <w:proofErr w:type="spellEnd"/>
      <w:r w:rsidR="002D43D1">
        <w:t xml:space="preserve"> Hall</w:t>
      </w:r>
      <w:r w:rsidR="00B22E5E">
        <w:t>,</w:t>
      </w:r>
      <w:r w:rsidR="002D43D1">
        <w:t xml:space="preserve"> a full service facility</w:t>
      </w:r>
      <w:r w:rsidR="00B22E5E">
        <w:t>,</w:t>
      </w:r>
      <w:r w:rsidR="002D43D1">
        <w:t xml:space="preserve"> on the ground floor and the </w:t>
      </w:r>
      <w:r w:rsidR="006B310E">
        <w:t>Pritchett</w:t>
      </w:r>
      <w:r w:rsidR="002D43D1">
        <w:t xml:space="preserve"> Grill on the second floor which was ope</w:t>
      </w:r>
      <w:r w:rsidR="00653DEF">
        <w:t>n longer hours and served fast food,</w:t>
      </w:r>
      <w:r w:rsidR="002D43D1">
        <w:t xml:space="preserve"> such as burgers.  </w:t>
      </w:r>
      <w:r w:rsidR="006B310E">
        <w:t xml:space="preserve">Both facilities were open as late as 1999 and the Pritchett Grill finally closed in </w:t>
      </w:r>
      <w:r>
        <w:t>200</w:t>
      </w:r>
      <w:r w:rsidR="006B310E">
        <w:t>7.</w:t>
      </w:r>
      <w:r w:rsidR="006B310E">
        <w:rPr>
          <w:rStyle w:val="FootnoteReference"/>
        </w:rPr>
        <w:footnoteReference w:id="5"/>
      </w:r>
      <w:r w:rsidR="006B310E">
        <w:rPr>
          <w:rStyle w:val="FootnoteReference"/>
        </w:rPr>
        <w:footnoteReference w:id="6"/>
      </w:r>
    </w:p>
    <w:p w14:paraId="74433F2A" w14:textId="44C30CA4" w:rsidR="007A56B3" w:rsidRDefault="007A56B3" w:rsidP="00DE4230">
      <w:pPr>
        <w:spacing w:line="480" w:lineRule="auto"/>
      </w:pPr>
      <w:r>
        <w:t xml:space="preserve">The facility was to be </w:t>
      </w:r>
      <w:r w:rsidR="00DB1E6D">
        <w:t>economical, and break even.</w:t>
      </w:r>
      <w:r w:rsidR="00DB1E6D">
        <w:rPr>
          <w:rStyle w:val="FootnoteReference"/>
        </w:rPr>
        <w:footnoteReference w:id="7"/>
      </w:r>
      <w:r w:rsidR="00DB1E6D">
        <w:t xml:space="preserve">  However, should the operation</w:t>
      </w:r>
      <w:r w:rsidR="00653DEF">
        <w:t>’</w:t>
      </w:r>
      <w:r w:rsidR="00DB1E6D">
        <w:t xml:space="preserve">s </w:t>
      </w:r>
      <w:r w:rsidR="00B22E5E">
        <w:t>costs go</w:t>
      </w:r>
      <w:r w:rsidR="00DB1E6D">
        <w:t xml:space="preserve"> over income, the deficit </w:t>
      </w:r>
      <w:r w:rsidR="00B22E5E">
        <w:t xml:space="preserve">was to </w:t>
      </w:r>
      <w:r w:rsidR="00DB1E6D">
        <w:t>be made up by alumni donations, and not be taken from the endowment.</w:t>
      </w:r>
      <w:r w:rsidR="00DB1E6D">
        <w:rPr>
          <w:rStyle w:val="FootnoteReference"/>
        </w:rPr>
        <w:footnoteReference w:id="8"/>
      </w:r>
      <w:r w:rsidR="00DB1E6D">
        <w:t xml:space="preserve">  This shows that at the very earliest days the Institute wanted the dining facilities to break even.  This </w:t>
      </w:r>
      <w:r w:rsidR="00413488">
        <w:lastRenderedPageBreak/>
        <w:t>question remains</w:t>
      </w:r>
      <w:r w:rsidR="006E2BF2">
        <w:t xml:space="preserve"> to this day; should dining facilities just break even, or is there social value which is worth subsidizing?  Should the cost be borne only by the </w:t>
      </w:r>
      <w:r w:rsidR="00413488">
        <w:t>users</w:t>
      </w:r>
      <w:r w:rsidR="006E2BF2">
        <w:t xml:space="preserve"> or the community in general?</w:t>
      </w:r>
    </w:p>
    <w:p w14:paraId="52DB240C" w14:textId="63EBD1D0" w:rsidR="00FA0BA9" w:rsidRDefault="006B310E" w:rsidP="00DE4230">
      <w:pPr>
        <w:spacing w:line="480" w:lineRule="auto"/>
      </w:pPr>
      <w:r>
        <w:t xml:space="preserve">The Walker Memorial was the only choice for dining </w:t>
      </w:r>
      <w:r w:rsidR="00413488">
        <w:t xml:space="preserve">on campus </w:t>
      </w:r>
      <w:r w:rsidR="0031671B">
        <w:t>until</w:t>
      </w:r>
      <w:r>
        <w:t xml:space="preserve"> Baker House was opened in 1949.</w:t>
      </w:r>
      <w:r>
        <w:rPr>
          <w:rStyle w:val="FootnoteReference"/>
        </w:rPr>
        <w:footnoteReference w:id="9"/>
      </w:r>
      <w:r w:rsidR="0022046D">
        <w:t xml:space="preserve">  </w:t>
      </w:r>
      <w:r w:rsidR="0031671B">
        <w:t xml:space="preserve">Baker was the first </w:t>
      </w:r>
      <w:r w:rsidR="006E2BF2">
        <w:t xml:space="preserve">new </w:t>
      </w:r>
      <w:r w:rsidR="0031671B">
        <w:t xml:space="preserve">dorm </w:t>
      </w:r>
      <w:r w:rsidR="0072703D">
        <w:t xml:space="preserve">to be built </w:t>
      </w:r>
      <w:r w:rsidR="0031671B">
        <w:t>on west campus</w:t>
      </w:r>
      <w:r w:rsidR="00413488">
        <w:t>.  T</w:t>
      </w:r>
      <w:r w:rsidR="0031671B">
        <w:t>he Walker Memorial was seen as far away</w:t>
      </w:r>
      <w:r w:rsidR="00413488">
        <w:t xml:space="preserve"> and it was over-crowded</w:t>
      </w:r>
      <w:r w:rsidR="0031671B">
        <w:t xml:space="preserve">.  </w:t>
      </w:r>
      <w:r w:rsidR="00AD57E1">
        <w:t xml:space="preserve">When the Baker opened, it brought with it a mandatory meal plan </w:t>
      </w:r>
      <w:r w:rsidR="004D111F">
        <w:t>that</w:t>
      </w:r>
      <w:r w:rsidR="00AD57E1">
        <w:t xml:space="preserve"> required that Baker residents to buy 15 meals a week from Baker’s dining hall at $10/week.  From the Tech’s editorial page there were no complaints about the mandatory plan, only complaints that the institute wanted to make a 3% profit on construction costs from the students</w:t>
      </w:r>
      <w:r w:rsidR="006B2804">
        <w:t xml:space="preserve"> </w:t>
      </w:r>
      <w:r w:rsidR="00413488">
        <w:t>on</w:t>
      </w:r>
      <w:r w:rsidR="00030280">
        <w:t xml:space="preserve"> the rent</w:t>
      </w:r>
      <w:r w:rsidR="00AD57E1">
        <w:t>.</w:t>
      </w:r>
      <w:r w:rsidR="00AD57E1">
        <w:rPr>
          <w:rStyle w:val="FootnoteReference"/>
        </w:rPr>
        <w:footnoteReference w:id="10"/>
      </w:r>
      <w:r w:rsidR="0072703D">
        <w:t xml:space="preserve">  There was also no mention of </w:t>
      </w:r>
      <w:r w:rsidR="006E2BF2">
        <w:t xml:space="preserve">the Institute trying to use dining to build a community in Baker House.  Indeed, many Burton House residents crowded the Baker dining hall.  </w:t>
      </w:r>
    </w:p>
    <w:p w14:paraId="3C02BF98" w14:textId="3AA3EDEB" w:rsidR="00B64E16" w:rsidRDefault="00B64E16" w:rsidP="00DE4230">
      <w:pPr>
        <w:spacing w:line="480" w:lineRule="auto"/>
      </w:pPr>
      <w:r>
        <w:t xml:space="preserve">The </w:t>
      </w:r>
      <w:r w:rsidRPr="00E54019">
        <w:t xml:space="preserve">1956 </w:t>
      </w:r>
      <w:proofErr w:type="spellStart"/>
      <w:r w:rsidRPr="00E54019">
        <w:t>Ryer</w:t>
      </w:r>
      <w:proofErr w:type="spellEnd"/>
      <w:r w:rsidRPr="00E54019">
        <w:t xml:space="preserve"> Commission report</w:t>
      </w:r>
      <w:r>
        <w:t xml:space="preserve"> was a landmark report in student life and it set the stage for hous</w:t>
      </w:r>
      <w:r w:rsidR="00A969EC">
        <w:t xml:space="preserve">e dining and all of the </w:t>
      </w:r>
      <w:r w:rsidR="00A969EC" w:rsidRPr="00A969EC">
        <w:t>subsequent</w:t>
      </w:r>
      <w:r>
        <w:t xml:space="preserve"> trouble.</w:t>
      </w:r>
      <w:r>
        <w:rPr>
          <w:rStyle w:val="FootnoteReference"/>
        </w:rPr>
        <w:footnoteReference w:id="11"/>
      </w:r>
      <w:r w:rsidR="00EB0DBA">
        <w:t xml:space="preserve">The </w:t>
      </w:r>
      <w:proofErr w:type="spellStart"/>
      <w:r w:rsidR="00EB0DBA">
        <w:t>Ryer</w:t>
      </w:r>
      <w:proofErr w:type="spellEnd"/>
      <w:r w:rsidR="00EB0DBA">
        <w:t xml:space="preserve"> report was released at a time when the west campus was becoming built up.</w:t>
      </w:r>
      <w:r w:rsidR="00EB0DBA">
        <w:rPr>
          <w:rStyle w:val="FootnoteReference"/>
        </w:rPr>
        <w:footnoteReference w:id="12"/>
      </w:r>
      <w:r w:rsidR="00EB0DBA">
        <w:t xml:space="preserve">  MIT was rapidly expanding its residential offerings in the post-war period as its reputation took off</w:t>
      </w:r>
      <w:r w:rsidR="00C07156">
        <w:t xml:space="preserve">.  </w:t>
      </w:r>
      <w:r w:rsidR="00EB0DBA">
        <w:t xml:space="preserve">The </w:t>
      </w:r>
      <w:proofErr w:type="spellStart"/>
      <w:r w:rsidR="00EB0DBA">
        <w:t>Ryer</w:t>
      </w:r>
      <w:proofErr w:type="spellEnd"/>
      <w:r w:rsidR="0022046D">
        <w:t xml:space="preserve"> </w:t>
      </w:r>
      <w:r w:rsidR="006B2804">
        <w:t>r</w:t>
      </w:r>
      <w:r w:rsidR="00C07156">
        <w:t xml:space="preserve">eport </w:t>
      </w:r>
      <w:r>
        <w:t xml:space="preserve">recommended that west campus become the </w:t>
      </w:r>
      <w:r w:rsidR="00A969EC">
        <w:t>center</w:t>
      </w:r>
      <w:r>
        <w:t xml:space="preserve"> of student lif</w:t>
      </w:r>
      <w:r w:rsidR="00565393">
        <w:t xml:space="preserve">e.  </w:t>
      </w:r>
      <w:r w:rsidR="006B2804">
        <w:t>They felt that a</w:t>
      </w:r>
      <w:r w:rsidR="00565393">
        <w:t xml:space="preserve"> student center </w:t>
      </w:r>
      <w:r w:rsidR="009349EB">
        <w:t>should be</w:t>
      </w:r>
      <w:r>
        <w:t xml:space="preserve"> built on west campus.  In addition, it recommended that each dorm have a dining hall, as well as simple kit</w:t>
      </w:r>
      <w:r w:rsidR="00A969EC">
        <w:t xml:space="preserve">chen facilities on each floor. </w:t>
      </w:r>
      <w:r w:rsidR="004D4680">
        <w:t xml:space="preserve">Dorms that were temporarily without dining halls should not be on a </w:t>
      </w:r>
      <w:r w:rsidR="0094030C">
        <w:t xml:space="preserve">mandatory </w:t>
      </w:r>
      <w:r w:rsidR="004D4680">
        <w:t xml:space="preserve">meal plan because students were not interacting in Walker.  The </w:t>
      </w:r>
      <w:proofErr w:type="spellStart"/>
      <w:r w:rsidR="004D4680">
        <w:t>Ryer</w:t>
      </w:r>
      <w:proofErr w:type="spellEnd"/>
      <w:r w:rsidR="004D4680">
        <w:t xml:space="preserve"> report</w:t>
      </w:r>
      <w:r w:rsidR="00A04507">
        <w:t xml:space="preserve"> wanted to create houses of no more than 200 students, each </w:t>
      </w:r>
      <w:r w:rsidR="00A04507">
        <w:lastRenderedPageBreak/>
        <w:t xml:space="preserve">with its own dining hall.  </w:t>
      </w:r>
      <w:r w:rsidR="00413488">
        <w:t xml:space="preserve">It recommended that </w:t>
      </w:r>
      <w:r w:rsidR="00A04507">
        <w:t>Burton House be split in two and that one dining hall should be built for each House.</w:t>
      </w:r>
      <w:r w:rsidR="00BF3CFE">
        <w:rPr>
          <w:rStyle w:val="FootnoteReference"/>
        </w:rPr>
        <w:footnoteReference w:id="13"/>
      </w:r>
    </w:p>
    <w:p w14:paraId="507CFEE3" w14:textId="54A7FAF8" w:rsidR="004D4680" w:rsidRDefault="00A04507" w:rsidP="004D4680">
      <w:pPr>
        <w:spacing w:line="480" w:lineRule="auto"/>
      </w:pPr>
      <w:r>
        <w:t xml:space="preserve">Only one dining hall was </w:t>
      </w:r>
      <w:r w:rsidR="00191526">
        <w:t xml:space="preserve">added to </w:t>
      </w:r>
      <w:r>
        <w:t xml:space="preserve">newly split </w:t>
      </w:r>
      <w:r w:rsidR="00191526">
        <w:t>Burton</w:t>
      </w:r>
      <w:r>
        <w:t>-Conner</w:t>
      </w:r>
      <w:r w:rsidR="00191526">
        <w:t xml:space="preserve"> House </w:t>
      </w:r>
      <w:r w:rsidR="00413488">
        <w:t xml:space="preserve">a few years later </w:t>
      </w:r>
      <w:r w:rsidR="00191526">
        <w:t>for “the social benefit of communal dining.”</w:t>
      </w:r>
      <w:r w:rsidR="00191526">
        <w:rPr>
          <w:rStyle w:val="FootnoteReference"/>
        </w:rPr>
        <w:footnoteReference w:id="14"/>
      </w:r>
      <w:r w:rsidR="00191526">
        <w:t xml:space="preserve">  The students were generally pleased that the new dining hall would be built.  </w:t>
      </w:r>
      <w:r>
        <w:t xml:space="preserve">The other facilities suffered from overcrowding and the residents were </w:t>
      </w:r>
      <w:r w:rsidR="00191526">
        <w:t>looking forward to the additional l</w:t>
      </w:r>
      <w:r>
        <w:t>o</w:t>
      </w:r>
      <w:r w:rsidR="00191526">
        <w:t>unge</w:t>
      </w:r>
      <w:r>
        <w:t xml:space="preserve"> space. </w:t>
      </w:r>
      <w:r w:rsidR="00C07156">
        <w:t xml:space="preserve"> The Burton Conner dining hall </w:t>
      </w:r>
      <w:r w:rsidR="002F3079">
        <w:t xml:space="preserve">had problems on day </w:t>
      </w:r>
      <w:r w:rsidR="009349EB">
        <w:t>one</w:t>
      </w:r>
      <w:r w:rsidR="002F3079">
        <w:t>;</w:t>
      </w:r>
      <w:r w:rsidR="004D4680">
        <w:t xml:space="preserve"> dinner had to be served early because lights had not yet been installed.</w:t>
      </w:r>
      <w:r w:rsidR="002F3079">
        <w:rPr>
          <w:rStyle w:val="FootnoteReference"/>
        </w:rPr>
        <w:footnoteReference w:id="15"/>
      </w:r>
      <w:r w:rsidR="00FC5B00">
        <w:t xml:space="preserve">  Elsewhere on campus, students generally resented the implementation of mandatory </w:t>
      </w:r>
      <w:r w:rsidR="00F73080">
        <w:t>C</w:t>
      </w:r>
      <w:r w:rsidR="00FC5B00">
        <w:t>ommons.</w:t>
      </w:r>
      <w:r w:rsidR="00FC5B00">
        <w:rPr>
          <w:rStyle w:val="FootnoteReference"/>
        </w:rPr>
        <w:footnoteReference w:id="16"/>
      </w:r>
    </w:p>
    <w:p w14:paraId="664B2E0B" w14:textId="029F39E7" w:rsidR="00DA55B1" w:rsidRDefault="00DA55B1" w:rsidP="00570444">
      <w:pPr>
        <w:spacing w:line="480" w:lineRule="auto"/>
      </w:pPr>
      <w:r>
        <w:t xml:space="preserve">The </w:t>
      </w:r>
      <w:proofErr w:type="spellStart"/>
      <w:r>
        <w:t>Ryer</w:t>
      </w:r>
      <w:proofErr w:type="spellEnd"/>
      <w:r>
        <w:t xml:space="preserve"> report was not economically sound.  </w:t>
      </w:r>
      <w:r w:rsidR="002F3079">
        <w:t>The</w:t>
      </w:r>
      <w:r>
        <w:t xml:space="preserve"> renovations to split Burton House</w:t>
      </w:r>
      <w:r w:rsidR="00C07156">
        <w:t xml:space="preserve"> </w:t>
      </w:r>
      <w:r w:rsidR="002F3079">
        <w:t>were costly and decreased the number of beds</w:t>
      </w:r>
      <w:r>
        <w:t xml:space="preserve">.  </w:t>
      </w:r>
      <w:r w:rsidR="00E54019">
        <w:t xml:space="preserve">By implementing the </w:t>
      </w:r>
      <w:proofErr w:type="spellStart"/>
      <w:r w:rsidR="00E54019">
        <w:t>Ryer</w:t>
      </w:r>
      <w:proofErr w:type="spellEnd"/>
      <w:r w:rsidR="00E54019">
        <w:t xml:space="preserve"> report, MIT c</w:t>
      </w:r>
      <w:r>
        <w:t xml:space="preserve">reated competition between the house dining halls, central facilities in the Student Center and Walker, and kitchens where students could cook for themselves.  </w:t>
      </w:r>
      <w:r w:rsidR="00570444">
        <w:t>The</w:t>
      </w:r>
      <w:r w:rsidR="0022046D">
        <w:t xml:space="preserve"> </w:t>
      </w:r>
      <w:proofErr w:type="spellStart"/>
      <w:r w:rsidR="00570444">
        <w:t>Ryer</w:t>
      </w:r>
      <w:proofErr w:type="spellEnd"/>
      <w:r w:rsidR="00570444">
        <w:t xml:space="preserve"> Commission did </w:t>
      </w:r>
      <w:r w:rsidR="009349EB">
        <w:t>want</w:t>
      </w:r>
      <w:r w:rsidR="00570444">
        <w:t xml:space="preserve"> the services to break even with no hidden subsidies.</w:t>
      </w:r>
      <w:r w:rsidR="00570444">
        <w:rPr>
          <w:rStyle w:val="FootnoteReference"/>
        </w:rPr>
        <w:footnoteReference w:id="17"/>
      </w:r>
      <w:r w:rsidR="0022046D">
        <w:t xml:space="preserve"> However</w:t>
      </w:r>
      <w:r w:rsidR="00C07156">
        <w:t>,</w:t>
      </w:r>
      <w:r w:rsidR="0022046D">
        <w:t xml:space="preserve"> </w:t>
      </w:r>
      <w:r w:rsidR="00570444">
        <w:t xml:space="preserve">they did </w:t>
      </w:r>
      <w:r w:rsidR="002F3079">
        <w:t xml:space="preserve">not consider the long term costs or potential revenue of their plans.  </w:t>
      </w:r>
      <w:r w:rsidR="00EB0DBA">
        <w:t xml:space="preserve">They offered too many choices and </w:t>
      </w:r>
      <w:r w:rsidR="009349EB">
        <w:t>since then</w:t>
      </w:r>
      <w:r w:rsidR="00EB0DBA">
        <w:t xml:space="preserve"> the locations alway</w:t>
      </w:r>
      <w:r w:rsidR="009349EB">
        <w:t>s struggled to make money.  T</w:t>
      </w:r>
      <w:r w:rsidR="00C07156">
        <w:t xml:space="preserve">he different options </w:t>
      </w:r>
      <w:r w:rsidR="00EB0DBA">
        <w:t>had to remain price competitive with each other and with cooking, but there were just too many locations</w:t>
      </w:r>
      <w:r w:rsidR="00C07156">
        <w:t xml:space="preserve"> for the number of customers</w:t>
      </w:r>
      <w:r w:rsidR="00EB0DBA">
        <w:t>.</w:t>
      </w:r>
      <w:r w:rsidR="006B2804">
        <w:t xml:space="preserve">  </w:t>
      </w:r>
      <w:r w:rsidR="00EB0DBA">
        <w:t xml:space="preserve">House dining halls are by their nature more expensive.  MIT students have </w:t>
      </w:r>
      <w:r w:rsidR="00EB0DBA">
        <w:t xml:space="preserve">always been price sensitive, even if they had financial aid.  </w:t>
      </w:r>
      <w:r w:rsidR="009349EB">
        <w:t>When students had a choice,</w:t>
      </w:r>
      <w:r w:rsidR="005C6194">
        <w:t xml:space="preserve"> they found the cheapest option</w:t>
      </w:r>
      <w:r w:rsidR="009349EB">
        <w:t xml:space="preserve">.  Even when the use of the house dining halls was mandatory, the locations </w:t>
      </w:r>
      <w:r w:rsidR="00EB0DBA">
        <w:t>struggled to make money.</w:t>
      </w:r>
      <w:r w:rsidR="005C6194">
        <w:t xml:space="preserve">  The mandatory system was never large enough and concentrated enough to make money.</w:t>
      </w:r>
    </w:p>
    <w:p w14:paraId="6D324531" w14:textId="77777777" w:rsidR="00DA55B1" w:rsidRDefault="00DA55B1" w:rsidP="00DE4230">
      <w:pPr>
        <w:spacing w:line="480" w:lineRule="auto"/>
      </w:pPr>
      <w:r w:rsidRPr="00413488">
        <w:lastRenderedPageBreak/>
        <w:t xml:space="preserve">In 1957, Stouffer’s began managing the </w:t>
      </w:r>
      <w:r w:rsidR="009349EB">
        <w:t>two</w:t>
      </w:r>
      <w:r w:rsidRPr="00413488">
        <w:t xml:space="preserve"> dining facilities in the Walker Memorial.</w:t>
      </w:r>
      <w:r w:rsidRPr="00413488">
        <w:rPr>
          <w:rStyle w:val="FootnoteReference"/>
        </w:rPr>
        <w:footnoteReference w:id="18"/>
      </w:r>
      <w:r w:rsidRPr="00413488">
        <w:t xml:space="preserve">  The firm was in control of planning the menu and ordering food.  The servers would still be employed by MIT.  The firm was chosen because they were the only ones doing research into food, especially frozen food.  </w:t>
      </w:r>
      <w:r w:rsidR="00D74652" w:rsidRPr="00413488">
        <w:t>This was Stouffer’s first contract for college food service.</w:t>
      </w:r>
      <w:r w:rsidR="00D74652" w:rsidRPr="00413488">
        <w:rPr>
          <w:rStyle w:val="FootnoteReference"/>
        </w:rPr>
        <w:footnoteReference w:id="19"/>
      </w:r>
      <w:r w:rsidR="009349EB">
        <w:t xml:space="preserve">It was also the first time MIT hired a contractor for food service.  </w:t>
      </w:r>
      <w:r w:rsidR="00D74652" w:rsidRPr="00413488">
        <w:t xml:space="preserve">The reaction to the firm was mixed.  In 1966, a student opinion in </w:t>
      </w:r>
      <w:r w:rsidR="00D74652" w:rsidRPr="00413488">
        <w:rPr>
          <w:u w:val="single"/>
        </w:rPr>
        <w:t>The Tech</w:t>
      </w:r>
      <w:r w:rsidR="00D74652" w:rsidRPr="00413488">
        <w:t>, a student questioned why MIT used</w:t>
      </w:r>
      <w:r w:rsidR="00FC5B00" w:rsidRPr="00413488">
        <w:t xml:space="preserve"> Stouffer’s</w:t>
      </w:r>
      <w:r w:rsidR="00D74652" w:rsidRPr="00413488">
        <w:t xml:space="preserve"> as an external contractor.</w:t>
      </w:r>
      <w:r w:rsidR="00D74652" w:rsidRPr="00413488">
        <w:rPr>
          <w:rStyle w:val="FootnoteReference"/>
        </w:rPr>
        <w:footnoteReference w:id="20"/>
      </w:r>
      <w:r w:rsidR="00D74652" w:rsidRPr="00413488">
        <w:t xml:space="preserve">  The student thought that it would have been better to bring in external vendors from the community to campus.  When the administration was planning the Student Center, they were hesitant to give the contract to Stouffer’s due to their poor reputation on campus.</w:t>
      </w:r>
      <w:r w:rsidR="00D74652" w:rsidRPr="00413488">
        <w:rPr>
          <w:rStyle w:val="FootnoteReference"/>
        </w:rPr>
        <w:footnoteReference w:id="21"/>
      </w:r>
      <w:r w:rsidR="00D74652" w:rsidRPr="00413488">
        <w:t xml:space="preserve">  They wanted a different operator to make the Student Center seem special and keep competition.  However, this discontent was not solely when a contractor was used.  Students complained about the low quality of the food and the high prices in Walker in 1946.</w:t>
      </w:r>
      <w:r w:rsidR="00D74652" w:rsidRPr="00413488">
        <w:rPr>
          <w:rStyle w:val="FootnoteReference"/>
        </w:rPr>
        <w:footnoteReference w:id="22"/>
      </w:r>
      <w:r w:rsidR="009349EB">
        <w:t>T</w:t>
      </w:r>
      <w:r w:rsidR="009349EB" w:rsidRPr="00413488">
        <w:t xml:space="preserve">here is one case where students </w:t>
      </w:r>
      <w:r w:rsidR="009349EB">
        <w:t xml:space="preserve">did </w:t>
      </w:r>
      <w:r w:rsidR="009349EB" w:rsidRPr="00413488">
        <w:t>want a traditional food-service operator.  In 1957, students in Baker boycotted their dining hall in order to get Stouffer’s to manage their dining hall.</w:t>
      </w:r>
      <w:r w:rsidR="009349EB" w:rsidRPr="00413488">
        <w:rPr>
          <w:rStyle w:val="FootnoteReference"/>
        </w:rPr>
        <w:footnoteReference w:id="23"/>
      </w:r>
      <w:r w:rsidR="009349EB" w:rsidRPr="00413488">
        <w:t xml:space="preserve">  230 students skipped dinner in Baker and went to Walker instead where they believed the food was better.  They boycotted a second night when the cafeteria planned to reheat the food that they were originally supposed to serve.  </w:t>
      </w:r>
    </w:p>
    <w:p w14:paraId="3C9569E7" w14:textId="22C3BBBD" w:rsidR="002931B0" w:rsidRDefault="002931B0" w:rsidP="002931B0">
      <w:pPr>
        <w:spacing w:line="480" w:lineRule="auto"/>
      </w:pPr>
      <w:r>
        <w:t>In October of 1965 the Student Center opened.</w:t>
      </w:r>
      <w:r>
        <w:rPr>
          <w:rStyle w:val="FootnoteReference"/>
        </w:rPr>
        <w:footnoteReference w:id="24"/>
      </w:r>
      <w:r>
        <w:t xml:space="preserve"> The facility further tried to alleviate crowding in Walker by proving a facility in west campus.  However, Robert Holden of the administration wanted the </w:t>
      </w:r>
      <w:r>
        <w:lastRenderedPageBreak/>
        <w:t>facility to not be just a dining hall.</w:t>
      </w:r>
      <w:r>
        <w:rPr>
          <w:rStyle w:val="FootnoteReference"/>
        </w:rPr>
        <w:footnoteReference w:id="25"/>
      </w:r>
      <w:r>
        <w:t xml:space="preserve">  He wanted the facility to “merchandize” in order to create demand for the students to use it.  It would have a nice grill room, Twenty Chimneys, which would have sit down service.  </w:t>
      </w:r>
      <w:r w:rsidR="009349EB">
        <w:t>He wanted the grill to compete with</w:t>
      </w:r>
      <w:r>
        <w:t xml:space="preserve"> restaurants in Boston.  </w:t>
      </w:r>
      <w:r w:rsidR="009349EB">
        <w:t xml:space="preserve">Once again, MIT planned </w:t>
      </w:r>
      <w:r w:rsidR="00247CB6">
        <w:t>that</w:t>
      </w:r>
      <w:r>
        <w:t xml:space="preserve"> the facility should break even.  However, from the very beginning the facility had trouble turning a profit.</w:t>
      </w:r>
      <w:r>
        <w:rPr>
          <w:rStyle w:val="FootnoteReference"/>
        </w:rPr>
        <w:footnoteReference w:id="26"/>
      </w:r>
      <w:r>
        <w:t xml:space="preserve">  Reports from two years after the Student Center opened showed that the facility was also struggling with limited equipment and staffing.  Soon after it opened, Twenty Chimneys was turned into a student-run late night option.</w:t>
      </w:r>
      <w:r>
        <w:rPr>
          <w:rStyle w:val="FootnoteReference"/>
        </w:rPr>
        <w:footnoteReference w:id="27"/>
      </w:r>
    </w:p>
    <w:p w14:paraId="4B0C9B8F" w14:textId="77777777" w:rsidR="00FC72F4" w:rsidRDefault="00FC5B00" w:rsidP="00DE4230">
      <w:pPr>
        <w:spacing w:line="480" w:lineRule="auto"/>
      </w:pPr>
      <w:r>
        <w:t>Mandatory</w:t>
      </w:r>
      <w:r w:rsidR="00F73080">
        <w:t xml:space="preserve"> C</w:t>
      </w:r>
      <w:r>
        <w:t xml:space="preserve">ommons from the </w:t>
      </w:r>
      <w:proofErr w:type="spellStart"/>
      <w:r>
        <w:t>Ryer</w:t>
      </w:r>
      <w:proofErr w:type="spellEnd"/>
      <w:r>
        <w:t xml:space="preserve"> Report continued until 1971.</w:t>
      </w:r>
      <w:r>
        <w:rPr>
          <w:rStyle w:val="FootnoteReference"/>
        </w:rPr>
        <w:footnoteReference w:id="28"/>
      </w:r>
      <w:r>
        <w:t xml:space="preserve">  The 1963 Committee on Student Environment strongly endorsed mandatory </w:t>
      </w:r>
      <w:r w:rsidR="009349EB">
        <w:t xml:space="preserve">Commons </w:t>
      </w:r>
      <w:r>
        <w:t xml:space="preserve">and the construction of dining halls in new dorms.  </w:t>
      </w:r>
      <w:r w:rsidR="009349EB">
        <w:t>The 1963 Committee wanted mandatory dining for the</w:t>
      </w:r>
      <w:r>
        <w:t xml:space="preserve"> health and indirect educational advantages, </w:t>
      </w:r>
      <w:r w:rsidR="009349EB">
        <w:t>but the students saw the decision as purely financial</w:t>
      </w:r>
      <w:r>
        <w:t xml:space="preserve">.  The administration told the students who boycotted against mandatory </w:t>
      </w:r>
      <w:r w:rsidR="00F73080">
        <w:t>C</w:t>
      </w:r>
      <w:r>
        <w:t xml:space="preserve">ommons to move to a dorm without </w:t>
      </w:r>
      <w:r w:rsidR="00F73080">
        <w:t>C</w:t>
      </w:r>
      <w:r>
        <w:t xml:space="preserve">ommons if they did not like the situation.  MIT </w:t>
      </w:r>
      <w:r w:rsidR="005F33B1">
        <w:t xml:space="preserve">said here that they </w:t>
      </w:r>
      <w:r>
        <w:t xml:space="preserve">did not want everyone to </w:t>
      </w:r>
      <w:r w:rsidR="00FC72F4">
        <w:t xml:space="preserve">subsidize the dining service, only the people who used it.  </w:t>
      </w:r>
      <w:r w:rsidR="005F33B1">
        <w:t xml:space="preserve">Students still companied.  </w:t>
      </w:r>
      <w:r w:rsidR="00FC72F4">
        <w:t xml:space="preserve">In 1969, the administration </w:t>
      </w:r>
      <w:r w:rsidR="005F33B1">
        <w:t>attempted to answer the protests by allowing</w:t>
      </w:r>
      <w:r w:rsidR="00FC72F4">
        <w:t xml:space="preserve"> students pay $145 to receive a discount on a la carte items.  However, the students pointed out that even if you fully used the plan</w:t>
      </w:r>
      <w:r w:rsidR="005F33B1">
        <w:t>,</w:t>
      </w:r>
      <w:r w:rsidR="00FC72F4">
        <w:t xml:space="preserve"> you would still lose money.  </w:t>
      </w:r>
      <w:r w:rsidR="005F33B1">
        <w:t xml:space="preserve">The </w:t>
      </w:r>
      <w:r w:rsidR="00FC72F4">
        <w:t xml:space="preserve">students </w:t>
      </w:r>
      <w:r w:rsidR="005F33B1">
        <w:t>continued to fight</w:t>
      </w:r>
      <w:r w:rsidR="00FC72F4">
        <w:t xml:space="preserve"> mandatory </w:t>
      </w:r>
      <w:r w:rsidR="00F73080">
        <w:t>C</w:t>
      </w:r>
      <w:r w:rsidR="00FC72F4">
        <w:t xml:space="preserve">ommons.  80% of McCormick residents said that they favored closing their dining hall in return for voluntary </w:t>
      </w:r>
      <w:r w:rsidR="00F73080">
        <w:t>C</w:t>
      </w:r>
      <w:r w:rsidR="00FC72F4">
        <w:t>ommons.</w:t>
      </w:r>
    </w:p>
    <w:p w14:paraId="3DB89238" w14:textId="77777777" w:rsidR="009F6A1D" w:rsidRDefault="00FC72F4" w:rsidP="009F6A1D">
      <w:pPr>
        <w:spacing w:line="480" w:lineRule="auto"/>
      </w:pPr>
      <w:r>
        <w:lastRenderedPageBreak/>
        <w:t xml:space="preserve">In 1971, </w:t>
      </w:r>
      <w:r w:rsidR="005F33B1">
        <w:t xml:space="preserve">the Institute bowed to the pressure and </w:t>
      </w:r>
      <w:r>
        <w:t xml:space="preserve">mandatory </w:t>
      </w:r>
      <w:r w:rsidR="00F73080">
        <w:t>C</w:t>
      </w:r>
      <w:r>
        <w:t>ommons was dropped</w:t>
      </w:r>
      <w:r w:rsidR="00685F37">
        <w:t>.</w:t>
      </w:r>
      <w:r w:rsidR="00685F37">
        <w:rPr>
          <w:rStyle w:val="FootnoteReference"/>
        </w:rPr>
        <w:footnoteReference w:id="29"/>
      </w:r>
      <w:r w:rsidR="001845A3">
        <w:t>MIT implemented a small yearly fee for residents in dorms with dining halls and an additional penalty for not choosing Commons.</w:t>
      </w:r>
      <w:r w:rsidR="001845A3">
        <w:rPr>
          <w:rStyle w:val="FootnoteReference"/>
        </w:rPr>
        <w:footnoteReference w:id="30"/>
      </w:r>
      <w:r w:rsidR="001845A3">
        <w:t xml:space="preserve">  The Institute was losing money for several years on a mandatory </w:t>
      </w:r>
      <w:r w:rsidR="00F73080">
        <w:t>C</w:t>
      </w:r>
      <w:r w:rsidR="001845A3">
        <w:t xml:space="preserve">ommons plan and </w:t>
      </w:r>
      <w:r>
        <w:t xml:space="preserve">it </w:t>
      </w:r>
      <w:r w:rsidR="001845A3">
        <w:t xml:space="preserve">thought it could make more money with voluntary </w:t>
      </w:r>
      <w:r w:rsidR="00F73080">
        <w:t>C</w:t>
      </w:r>
      <w:r w:rsidR="001845A3">
        <w:t xml:space="preserve">ommons and the new fee.  However, it did not work out that way at all.  In substituent years, </w:t>
      </w:r>
      <w:r w:rsidR="00685F37">
        <w:t xml:space="preserve">the system lost money because </w:t>
      </w:r>
      <w:r w:rsidR="009F6A1D">
        <w:t>about 40% of all students opted in to the Commons system when it was voluntary</w:t>
      </w:r>
      <w:r w:rsidR="00685F37">
        <w:t>.</w:t>
      </w:r>
      <w:r w:rsidR="009F6A1D">
        <w:rPr>
          <w:rStyle w:val="FootnoteReference"/>
        </w:rPr>
        <w:footnoteReference w:id="31"/>
      </w:r>
      <w:r w:rsidR="009F6A1D">
        <w:t xml:space="preserve">Participation rates </w:t>
      </w:r>
      <w:r w:rsidR="005F33B1">
        <w:t>varied greatly from dorm to dorm.  For example, participation in Baker was about</w:t>
      </w:r>
      <w:r w:rsidR="009F6A1D">
        <w:t xml:space="preserve"> 70%.  At </w:t>
      </w:r>
      <w:proofErr w:type="spellStart"/>
      <w:r w:rsidR="009F6A1D">
        <w:t>Lobdell</w:t>
      </w:r>
      <w:proofErr w:type="spellEnd"/>
      <w:r w:rsidR="009F6A1D">
        <w:t xml:space="preserve"> and </w:t>
      </w:r>
      <w:proofErr w:type="spellStart"/>
      <w:r w:rsidR="009F6A1D">
        <w:t>Morss</w:t>
      </w:r>
      <w:proofErr w:type="spellEnd"/>
      <w:r w:rsidR="005F33B1">
        <w:t>,</w:t>
      </w:r>
      <w:r w:rsidR="009F6A1D">
        <w:t xml:space="preserve"> half of the customers at lunch were not students.  However, only 25% of the MIT community used the dining services.  </w:t>
      </w:r>
      <w:r w:rsidR="00685F37">
        <w:t>As a result</w:t>
      </w:r>
      <w:r w:rsidR="006B4AAA">
        <w:t xml:space="preserve"> of the continued loss of money</w:t>
      </w:r>
      <w:r w:rsidR="00685F37">
        <w:t>, the Institute cut the dining room in McCormick to lunch only in 19</w:t>
      </w:r>
      <w:r w:rsidR="001845A3">
        <w:t>7</w:t>
      </w:r>
      <w:r w:rsidR="00685F37">
        <w:t xml:space="preserve">2 and closed down the dining room in Ashdown completely.  </w:t>
      </w:r>
      <w:r w:rsidR="001845A3">
        <w:t>In 1974, MIT dropped Stouffer’s and started managing the dining halls themselves.  MIT’s management style was more decentralized than Stouffer’s highly centralized style.  However, the students did not notice many changes.</w:t>
      </w:r>
    </w:p>
    <w:p w14:paraId="6CCE3CF1" w14:textId="77777777" w:rsidR="006A5D3C" w:rsidRDefault="00291B4B" w:rsidP="00DE4230">
      <w:pPr>
        <w:spacing w:line="480" w:lineRule="auto"/>
      </w:pPr>
      <w:r>
        <w:t xml:space="preserve">In 1980, the Committee on Campus Dining </w:t>
      </w:r>
      <w:r w:rsidR="00FC72F4">
        <w:t>restarted mandatory Commons</w:t>
      </w:r>
      <w:r>
        <w:t>.</w:t>
      </w:r>
      <w:r>
        <w:rPr>
          <w:rStyle w:val="FootnoteReference"/>
        </w:rPr>
        <w:footnoteReference w:id="32"/>
      </w:r>
      <w:r w:rsidR="009F6A1D">
        <w:t xml:space="preserve">Once again, the Institute felt that a mandatory plan would make the system break even.  The Institute always seemed to believe that the other plan would make more money.  Once again, the plan was </w:t>
      </w:r>
      <w:r>
        <w:t xml:space="preserve">hated by students, </w:t>
      </w:r>
      <w:r w:rsidR="00FC72F4">
        <w:t>who protested it</w:t>
      </w:r>
      <w:r w:rsidR="00AF6791">
        <w:t xml:space="preserve"> strongly</w:t>
      </w:r>
      <w:r>
        <w:t>.</w:t>
      </w:r>
      <w:r>
        <w:rPr>
          <w:rStyle w:val="FootnoteReference"/>
        </w:rPr>
        <w:footnoteReference w:id="33"/>
      </w:r>
      <w:r w:rsidR="00FC72F4">
        <w:t>In the negotiations t</w:t>
      </w:r>
      <w:r w:rsidR="000E7C62">
        <w:t xml:space="preserve">he plan was subsequently expanded to also include a la carte items, seconds, and </w:t>
      </w:r>
      <w:proofErr w:type="gramStart"/>
      <w:r w:rsidR="000E7C62">
        <w:t>Kosher</w:t>
      </w:r>
      <w:proofErr w:type="gramEnd"/>
      <w:r w:rsidR="000E7C62">
        <w:t xml:space="preserve"> options</w:t>
      </w:r>
      <w:r w:rsidR="00FC72F4">
        <w:t xml:space="preserve"> and make it more flexible</w:t>
      </w:r>
      <w:r w:rsidR="000E7C62">
        <w:t xml:space="preserve">.  </w:t>
      </w:r>
      <w:r w:rsidR="00AF6791">
        <w:t xml:space="preserve">The plan </w:t>
      </w:r>
      <w:r w:rsidR="005F33B1">
        <w:t>saw</w:t>
      </w:r>
      <w:r w:rsidR="00AF6791">
        <w:t xml:space="preserve"> dining as a focal point of community.  It also sought to crack down on unauthorized ho</w:t>
      </w:r>
      <w:r w:rsidR="005F33B1">
        <w:t>t plate usage and renovate over-crowded student kitchens.</w:t>
      </w:r>
    </w:p>
    <w:p w14:paraId="3F04D825" w14:textId="4D698E59" w:rsidR="00FA0BA9" w:rsidRDefault="00291B4B" w:rsidP="00DE4230">
      <w:pPr>
        <w:spacing w:line="480" w:lineRule="auto"/>
      </w:pPr>
      <w:r>
        <w:lastRenderedPageBreak/>
        <w:t>It was at this time that the Institute ran the most extensive dining system in its history, and h</w:t>
      </w:r>
      <w:r w:rsidR="009F4D6C">
        <w:t xml:space="preserve">ad an extremely </w:t>
      </w:r>
      <w:r>
        <w:t>complex meal plan</w:t>
      </w:r>
      <w:r w:rsidR="006A5D3C">
        <w:t xml:space="preserve"> to maximize flexibility</w:t>
      </w:r>
      <w:r w:rsidR="00FA0BA9">
        <w:t>.</w:t>
      </w:r>
      <w:r w:rsidR="00FA0BA9">
        <w:rPr>
          <w:rStyle w:val="FootnoteReference"/>
        </w:rPr>
        <w:footnoteReference w:id="34"/>
      </w:r>
      <w:r w:rsidR="009F4D6C">
        <w:t xml:space="preserve">Students received a 19 page brochure explaining the options.  </w:t>
      </w:r>
      <w:r w:rsidR="006D2A16">
        <w:t xml:space="preserve">The </w:t>
      </w:r>
      <w:r w:rsidR="005F33B1">
        <w:t xml:space="preserve">system was so complicated that the </w:t>
      </w:r>
      <w:r w:rsidR="006D2A16">
        <w:t xml:space="preserve">administration </w:t>
      </w:r>
      <w:r w:rsidR="005F33B1">
        <w:t>had to say</w:t>
      </w:r>
      <w:r w:rsidR="006D2A16">
        <w:t xml:space="preserve"> that “in actual practice the system will be easy to use.”</w:t>
      </w:r>
      <w:r w:rsidR="006D2A16">
        <w:rPr>
          <w:rStyle w:val="FootnoteReference"/>
        </w:rPr>
        <w:footnoteReference w:id="35"/>
      </w:r>
      <w:r w:rsidR="00FA0BA9">
        <w:t xml:space="preserve">The dining halls in </w:t>
      </w:r>
      <w:r w:rsidR="00452827">
        <w:t xml:space="preserve">Baker, McCormick, </w:t>
      </w:r>
      <w:proofErr w:type="spellStart"/>
      <w:r w:rsidR="00452827">
        <w:t>MacGregor</w:t>
      </w:r>
      <w:proofErr w:type="spellEnd"/>
      <w:r w:rsidR="00452827">
        <w:t>, and what would be called Next House</w:t>
      </w:r>
      <w:r w:rsidR="00C07156">
        <w:t xml:space="preserve"> </w:t>
      </w:r>
      <w:r w:rsidR="005F33B1">
        <w:t>operated all-you-can-eat</w:t>
      </w:r>
      <w:r w:rsidR="00452827">
        <w:t xml:space="preserve"> “Commons</w:t>
      </w:r>
      <w:r w:rsidR="005F33B1">
        <w:t>.</w:t>
      </w:r>
      <w:r w:rsidR="00452827">
        <w:t xml:space="preserve">”  </w:t>
      </w:r>
      <w:proofErr w:type="spellStart"/>
      <w:r w:rsidR="00282D75">
        <w:t>Lobdell</w:t>
      </w:r>
      <w:proofErr w:type="spellEnd"/>
      <w:r w:rsidR="00282D75">
        <w:t xml:space="preserve"> was </w:t>
      </w:r>
      <w:r w:rsidR="004C663C">
        <w:t xml:space="preserve">also </w:t>
      </w:r>
      <w:r w:rsidR="00282D75">
        <w:t xml:space="preserve">open for a la carte on weekdays and Commons on weekends.  Twenty Chimneys, </w:t>
      </w:r>
      <w:r w:rsidR="004C663C">
        <w:t>was open as</w:t>
      </w:r>
      <w:r w:rsidR="00282D75">
        <w:t xml:space="preserve"> a grill and snack bar until midnight.  In the </w:t>
      </w:r>
      <w:proofErr w:type="spellStart"/>
      <w:r w:rsidR="00282D75">
        <w:t>Waker</w:t>
      </w:r>
      <w:proofErr w:type="spellEnd"/>
      <w:r w:rsidR="00282D75">
        <w:t xml:space="preserve"> Memorial, </w:t>
      </w:r>
      <w:proofErr w:type="spellStart"/>
      <w:r w:rsidR="00282D75">
        <w:t>Morss</w:t>
      </w:r>
      <w:proofErr w:type="spellEnd"/>
      <w:r w:rsidR="00282D75">
        <w:t xml:space="preserve"> Hall served Commons on weekdays and the Pritchett Grill upstairs served snacks wee</w:t>
      </w:r>
      <w:r w:rsidR="005C6194">
        <w:t>kdays until midnight.</w:t>
      </w:r>
    </w:p>
    <w:p w14:paraId="37E4E12D" w14:textId="77777777" w:rsidR="00CB2E10" w:rsidRDefault="00CB2E10" w:rsidP="00DE4230">
      <w:pPr>
        <w:spacing w:line="480" w:lineRule="auto"/>
      </w:pPr>
      <w:r>
        <w:t xml:space="preserve">Residents of the dorms with dining halls were forced to </w:t>
      </w:r>
      <w:r w:rsidR="00411163">
        <w:t>purchase a minimum amount of meals</w:t>
      </w:r>
      <w:r>
        <w:t>.  Freshmen had to purcha</w:t>
      </w:r>
      <w:r w:rsidR="009F4D6C">
        <w:t>se $559 worth of meals per term with the amount declining each year</w:t>
      </w:r>
      <w:r w:rsidR="00411163">
        <w:t xml:space="preserve">.  Dinner in the </w:t>
      </w:r>
      <w:r w:rsidR="00F73080">
        <w:t>C</w:t>
      </w:r>
      <w:r w:rsidR="00411163">
        <w:t xml:space="preserve">ommons cost 3 points, lunch 2 points, and breakfast cost 1 point.  The first 160 points that one purchased cost $2.03 </w:t>
      </w:r>
      <w:r w:rsidR="005F33B1">
        <w:t xml:space="preserve">each </w:t>
      </w:r>
      <w:r w:rsidR="00411163">
        <w:t>and after that each point cost $1.17.  There was also a provision to buy the rights to go through the line for seconds for the entire term</w:t>
      </w:r>
      <w:r w:rsidR="005F33B1">
        <w:t>, adding another level of price complexity</w:t>
      </w:r>
      <w:r w:rsidR="00411163">
        <w:t>.</w:t>
      </w:r>
      <w:r w:rsidR="005C6194">
        <w:t xml:space="preserve">  Although the mandatory system included all of the students living in dorms, it had too many locations open.</w:t>
      </w:r>
    </w:p>
    <w:p w14:paraId="629F5E1A" w14:textId="77777777" w:rsidR="004E5678" w:rsidRDefault="004E5678" w:rsidP="005F3ED6">
      <w:pPr>
        <w:spacing w:line="480" w:lineRule="auto"/>
      </w:pPr>
      <w:r>
        <w:t>In 1983, MIT gave students another choice for dining.  Kitchens were installed in East Campus and Senior House.</w:t>
      </w:r>
      <w:r>
        <w:rPr>
          <w:rStyle w:val="FootnoteReference"/>
        </w:rPr>
        <w:footnoteReference w:id="36"/>
      </w:r>
      <w:r>
        <w:t xml:space="preserve">  MIT was planning on renovating the dining hall kitchens in Walker, </w:t>
      </w:r>
      <w:r w:rsidR="005F33B1">
        <w:t>but it would have cost severa</w:t>
      </w:r>
      <w:r w:rsidR="005C6194">
        <w:t xml:space="preserve">l million dollars. </w:t>
      </w:r>
      <w:r w:rsidR="005F33B1">
        <w:t xml:space="preserve"> Adding student kitchens was cheaper</w:t>
      </w:r>
      <w:r>
        <w:t xml:space="preserve">.  The East Campus and Senior House students welcomed the changes with open arms, with over 75% of residents supporting the kitchens.  MIT knew that the new kitchens would compete with their operation, and they were prepared to close Walker for dinner.  The problem was that the Institute never </w:t>
      </w:r>
      <w:r w:rsidR="005F33B1">
        <w:t>followed</w:t>
      </w:r>
      <w:r>
        <w:t xml:space="preserve"> through with closing Walker.</w:t>
      </w:r>
      <w:r>
        <w:rPr>
          <w:rStyle w:val="FootnoteReference"/>
        </w:rPr>
        <w:footnoteReference w:id="37"/>
      </w:r>
      <w:r>
        <w:t xml:space="preserve">  It </w:t>
      </w:r>
      <w:r>
        <w:lastRenderedPageBreak/>
        <w:t xml:space="preserve">gave students an alternative to eating on campus, spreading the same </w:t>
      </w:r>
      <w:r w:rsidR="005F33B1">
        <w:t xml:space="preserve">number of </w:t>
      </w:r>
      <w:r>
        <w:t>customers over more choices</w:t>
      </w:r>
      <w:r w:rsidR="005F33B1">
        <w:t>, further weakening</w:t>
      </w:r>
      <w:r>
        <w:t xml:space="preserve"> the long-term stability of the system.</w:t>
      </w:r>
    </w:p>
    <w:p w14:paraId="16E9F4B9" w14:textId="0E79BC30" w:rsidR="00411163" w:rsidRDefault="004E5678" w:rsidP="005F3ED6">
      <w:pPr>
        <w:spacing w:line="480" w:lineRule="auto"/>
      </w:pPr>
      <w:r>
        <w:t xml:space="preserve">Students were </w:t>
      </w:r>
      <w:r>
        <w:t>split as t</w:t>
      </w:r>
      <w:r>
        <w:t>o</w:t>
      </w:r>
      <w:r w:rsidR="00247CB6">
        <w:t xml:space="preserve"> an </w:t>
      </w:r>
      <w:r w:rsidR="00C07156">
        <w:t>a</w:t>
      </w:r>
      <w:r w:rsidR="005F3ED6" w:rsidRPr="005F3ED6">
        <w:t xml:space="preserve"> la carte vs</w:t>
      </w:r>
      <w:r>
        <w:t>.</w:t>
      </w:r>
      <w:r w:rsidR="005F3ED6" w:rsidRPr="005F3ED6">
        <w:t xml:space="preserve"> all you care to eat</w:t>
      </w:r>
      <w:r w:rsidR="005F3ED6">
        <w:t xml:space="preserve"> “Commons” </w:t>
      </w:r>
      <w:r w:rsidR="005F3ED6" w:rsidRPr="005F3ED6">
        <w:t xml:space="preserve">system.  </w:t>
      </w:r>
      <w:r w:rsidR="00067CAA" w:rsidRPr="005F3ED6">
        <w:t xml:space="preserve">Whenever one system existed, someone would complain about the lack of the other system.  </w:t>
      </w:r>
      <w:r w:rsidR="005F3ED6" w:rsidRPr="005F3ED6">
        <w:t xml:space="preserve">During much of the history, a la carte was in some locations while all you can eat was elsewhere.  For example in </w:t>
      </w:r>
      <w:r w:rsidR="00067CAA" w:rsidRPr="005F3ED6">
        <w:t>1984, Baker went a la carte on Fridays and saw a tripling of the number of students using it.</w:t>
      </w:r>
      <w:r w:rsidR="00067CAA" w:rsidRPr="005F3ED6">
        <w:rPr>
          <w:rStyle w:val="FootnoteReference"/>
        </w:rPr>
        <w:footnoteReference w:id="38"/>
      </w:r>
      <w:r w:rsidR="005F3ED6">
        <w:t xml:space="preserve">Also in 1984, </w:t>
      </w:r>
      <w:r w:rsidR="00067CAA" w:rsidRPr="005F3ED6">
        <w:t xml:space="preserve">a girl from McCormick complained that Commons should be men “only, because women in general eat less than men.” </w:t>
      </w:r>
      <w:r w:rsidR="00390671" w:rsidRPr="005F3ED6">
        <w:t>Ho</w:t>
      </w:r>
      <w:r w:rsidR="005F3ED6">
        <w:t>wever</w:t>
      </w:r>
      <w:r w:rsidR="005F33B1">
        <w:t xml:space="preserve"> in 1990, only Baker had an all-you-can-</w:t>
      </w:r>
      <w:r w:rsidR="005F3ED6">
        <w:t>eat system</w:t>
      </w:r>
      <w:r w:rsidR="00390671" w:rsidRPr="005F3ED6">
        <w:t xml:space="preserve"> and the manager at the time was looking to expand the system to more houses.</w:t>
      </w:r>
      <w:r w:rsidR="00390671" w:rsidRPr="005F3ED6">
        <w:rPr>
          <w:rStyle w:val="FootnoteReference"/>
        </w:rPr>
        <w:footnoteReference w:id="39"/>
      </w:r>
      <w:r w:rsidR="00DF58B0" w:rsidRPr="005F3ED6">
        <w:t xml:space="preserve"> In 1993</w:t>
      </w:r>
      <w:r w:rsidR="005F33B1">
        <w:t>,</w:t>
      </w:r>
      <w:r w:rsidR="00DF58B0" w:rsidRPr="005F3ED6">
        <w:t xml:space="preserve"> as part of the move to </w:t>
      </w:r>
      <w:r w:rsidR="009D7E80" w:rsidRPr="005F3ED6">
        <w:t>voluntary</w:t>
      </w:r>
      <w:r w:rsidR="005F33B1">
        <w:t>,</w:t>
      </w:r>
      <w:r w:rsidR="00DF58B0" w:rsidRPr="005F3ED6">
        <w:t xml:space="preserve"> Baker House switched </w:t>
      </w:r>
      <w:r w:rsidR="005F33B1">
        <w:t xml:space="preserve">back </w:t>
      </w:r>
      <w:r w:rsidR="00DF58B0" w:rsidRPr="005F3ED6">
        <w:t>to a la carte.</w:t>
      </w:r>
      <w:r w:rsidR="00DF58B0" w:rsidRPr="005F3ED6">
        <w:rPr>
          <w:rStyle w:val="FootnoteReference"/>
        </w:rPr>
        <w:footnoteReference w:id="40"/>
      </w:r>
      <w:r w:rsidR="00247CB6">
        <w:t xml:space="preserve"> </w:t>
      </w:r>
      <w:r w:rsidR="00D61E7B">
        <w:t xml:space="preserve">Whatever was available at the time, there </w:t>
      </w:r>
      <w:r w:rsidR="005F33B1">
        <w:t>were always students who wanted the other option; no system could meet the diversity of wants.</w:t>
      </w:r>
    </w:p>
    <w:p w14:paraId="285E188D" w14:textId="5DBC8780" w:rsidR="00C80603" w:rsidRDefault="00C80603" w:rsidP="00067CAA">
      <w:pPr>
        <w:spacing w:line="480" w:lineRule="auto"/>
      </w:pPr>
      <w:r>
        <w:t xml:space="preserve">In </w:t>
      </w:r>
      <w:r w:rsidR="00287C54">
        <w:t xml:space="preserve">1986, MIT </w:t>
      </w:r>
      <w:r w:rsidR="00D61E7B">
        <w:t>went back to a contractor</w:t>
      </w:r>
      <w:r w:rsidR="006B2804">
        <w:t xml:space="preserve"> </w:t>
      </w:r>
      <w:r w:rsidR="00D61E7B">
        <w:t>for better management of their locations.</w:t>
      </w:r>
      <w:r w:rsidR="00D61E7B">
        <w:rPr>
          <w:rStyle w:val="FootnoteReference"/>
        </w:rPr>
        <w:footnoteReference w:id="41"/>
      </w:r>
      <w:r w:rsidR="00D61E7B">
        <w:t>.  They choose</w:t>
      </w:r>
      <w:r w:rsidR="00287C54">
        <w:t xml:space="preserve"> ARA</w:t>
      </w:r>
      <w:r w:rsidR="00D61E7B">
        <w:t>, today known as Aramark.  ARA</w:t>
      </w:r>
      <w:r w:rsidR="00287C54">
        <w:t xml:space="preserve"> was well known, even at the time, for relying heavily on slick design and marketing.  </w:t>
      </w:r>
      <w:r w:rsidR="00D61E7B">
        <w:t xml:space="preserve">At the time, MIT was losing almost $1 million dollars a year; </w:t>
      </w:r>
      <w:r w:rsidR="00287C54">
        <w:t xml:space="preserve">ARA believed that by 1991, dining at MIT could become profitable.  ARA started by reforming </w:t>
      </w:r>
      <w:proofErr w:type="spellStart"/>
      <w:r w:rsidR="00287C54">
        <w:t>Lobdell</w:t>
      </w:r>
      <w:proofErr w:type="spellEnd"/>
      <w:r w:rsidR="00287C54">
        <w:t xml:space="preserve"> to follow ARA’s “Restaurant Collections” concept with multiple stations and introduced a bagel wagon to sell </w:t>
      </w:r>
      <w:r w:rsidR="00D61E7B">
        <w:t xml:space="preserve">bagels </w:t>
      </w:r>
      <w:r w:rsidR="00287C54">
        <w:t xml:space="preserve">around campus.  </w:t>
      </w:r>
      <w:r w:rsidR="000F066A">
        <w:t xml:space="preserve">The students constantly complained about ARA, more than any other period in the Institute’s history.  </w:t>
      </w:r>
      <w:r w:rsidR="00F1685C">
        <w:t xml:space="preserve">Students complained that ARA wasted money on ice sculptures, had poorly trained employees, </w:t>
      </w:r>
      <w:r w:rsidR="00247CB6">
        <w:t xml:space="preserve">and </w:t>
      </w:r>
      <w:r w:rsidR="00F1685C">
        <w:t>misran special events, in addition to the constant complaints of bland food.</w:t>
      </w:r>
      <w:r w:rsidR="00F1685C">
        <w:rPr>
          <w:rStyle w:val="FootnoteReference"/>
        </w:rPr>
        <w:footnoteReference w:id="42"/>
      </w:r>
    </w:p>
    <w:p w14:paraId="3CE0ADAB" w14:textId="030CC5DB" w:rsidR="00390671" w:rsidRDefault="00F1685C" w:rsidP="00EE7FC4">
      <w:pPr>
        <w:spacing w:line="480" w:lineRule="auto"/>
      </w:pPr>
      <w:r>
        <w:lastRenderedPageBreak/>
        <w:t xml:space="preserve">In 1988, ARA made even more changes to the student center putting in Networks, a seafood </w:t>
      </w:r>
      <w:r w:rsidR="000F066A">
        <w:t>restaurant</w:t>
      </w:r>
      <w:r>
        <w:t xml:space="preserve"> with table service and </w:t>
      </w:r>
      <w:r w:rsidR="00D61E7B">
        <w:t>alcohol</w:t>
      </w:r>
      <w:r>
        <w:t>.</w:t>
      </w:r>
      <w:r>
        <w:rPr>
          <w:rStyle w:val="FootnoteReference"/>
        </w:rPr>
        <w:footnoteReference w:id="43"/>
      </w:r>
      <w:r>
        <w:t xml:space="preserve">  That change was very </w:t>
      </w:r>
      <w:r w:rsidR="00390671">
        <w:t>short-lived</w:t>
      </w:r>
      <w:r>
        <w:t>.</w:t>
      </w:r>
      <w:r w:rsidR="00390671">
        <w:t xml:space="preserve"> In 1991, Networks reopened to be a</w:t>
      </w:r>
      <w:r w:rsidR="000F066A">
        <w:t>n</w:t>
      </w:r>
      <w:r w:rsidR="00390671">
        <w:t xml:space="preserve"> informal </w:t>
      </w:r>
      <w:r w:rsidR="00EE7FC4">
        <w:t xml:space="preserve">diner that would be open </w:t>
      </w:r>
      <w:r w:rsidR="000F066A">
        <w:t>late</w:t>
      </w:r>
      <w:r w:rsidR="00390671">
        <w:t>.</w:t>
      </w:r>
      <w:r w:rsidR="00390671">
        <w:rPr>
          <w:rStyle w:val="FootnoteReference"/>
        </w:rPr>
        <w:footnoteReference w:id="44"/>
      </w:r>
      <w:r w:rsidR="00390671">
        <w:t xml:space="preserve">  It was originally scheduled to be called “</w:t>
      </w:r>
      <w:r w:rsidR="00390671" w:rsidRPr="00390671">
        <w:t>Hackers' Haven</w:t>
      </w:r>
      <w:r w:rsidR="00390671">
        <w:t>”</w:t>
      </w:r>
      <w:r w:rsidR="006B2804">
        <w:t xml:space="preserve"> </w:t>
      </w:r>
      <w:r w:rsidR="00390671">
        <w:t>and was designed as a place for students to "hang out," watch television</w:t>
      </w:r>
      <w:r w:rsidR="000F066A">
        <w:t>,</w:t>
      </w:r>
      <w:r w:rsidR="00390671">
        <w:t xml:space="preserve"> and play board games.</w:t>
      </w:r>
      <w:r w:rsidR="00390671">
        <w:rPr>
          <w:rStyle w:val="FootnoteReference"/>
        </w:rPr>
        <w:footnoteReference w:id="45"/>
      </w:r>
      <w:r w:rsidR="000F066A">
        <w:t xml:space="preserve">The walls would display pictures of famous MIT hacks.  </w:t>
      </w:r>
      <w:r w:rsidR="00EE7FC4">
        <w:t xml:space="preserve">However one student derided the plan as gimmicky.  He thought that the plan was better suited for a big Midwestern university where students “have time to sit around, eat </w:t>
      </w:r>
      <w:r w:rsidR="000F066A">
        <w:t>French</w:t>
      </w:r>
      <w:r w:rsidR="00EE7FC4">
        <w:t xml:space="preserve"> fries, and watch TV.”  Students still thought that ARA was failing to provide “decent food and hours that match the way MIT people live.”</w:t>
      </w:r>
      <w:r w:rsidR="006B2804">
        <w:t xml:space="preserve"> </w:t>
      </w:r>
      <w:r w:rsidR="00D61E7B">
        <w:t xml:space="preserve">Separately, </w:t>
      </w:r>
      <w:r w:rsidR="000F066A">
        <w:t>Networks was the third time that MIT tried to open a fancy restaurant only to quickly replace it with a late night student hang out</w:t>
      </w:r>
      <w:r w:rsidR="00D61E7B">
        <w:t>,</w:t>
      </w:r>
      <w:r w:rsidR="000F066A">
        <w:t xml:space="preserve"> before eventually closing it.  The other times were the Pritchett Grill in 1916 and Twenty Chimneys in 1956.</w:t>
      </w:r>
    </w:p>
    <w:p w14:paraId="127347CD" w14:textId="77777777" w:rsidR="000F066A" w:rsidRDefault="000F066A" w:rsidP="000F066A">
      <w:pPr>
        <w:spacing w:line="480" w:lineRule="auto"/>
      </w:pPr>
      <w:r>
        <w:t xml:space="preserve">In 1991, </w:t>
      </w:r>
      <w:r w:rsidR="00D61E7B">
        <w:t xml:space="preserve">dining was still losing money.  MIT decided to </w:t>
      </w:r>
      <w:r w:rsidR="005C6194">
        <w:t>renew</w:t>
      </w:r>
      <w:r>
        <w:t xml:space="preserve"> its contract with ARA</w:t>
      </w:r>
      <w:r w:rsidR="00D61E7B">
        <w:t>, but this contract would be different</w:t>
      </w:r>
      <w:r>
        <w:t>.</w:t>
      </w:r>
      <w:r>
        <w:rPr>
          <w:rStyle w:val="FootnoteReference"/>
        </w:rPr>
        <w:footnoteReference w:id="46"/>
      </w:r>
      <w:r>
        <w:t xml:space="preserve">   The new contract gave ARA any profits it could make and made it responsible for losses.</w:t>
      </w:r>
      <w:r>
        <w:rPr>
          <w:rStyle w:val="FootnoteReference"/>
        </w:rPr>
        <w:footnoteReference w:id="47"/>
      </w:r>
      <w:r>
        <w:t xml:space="preserve">  This profit and losses contract was believed to be the first of its kind for a university.  Lawrence E. Maguire, director of housing and food services claimed that, “ARA now has incentive to respond to the market. You're going to see salesmen out there now.”  The Institute </w:t>
      </w:r>
      <w:r w:rsidR="00D61E7B">
        <w:t>was just trying to break even again</w:t>
      </w:r>
      <w:r>
        <w:t xml:space="preserve">.   It was no longer willing to subsidize the system’s hundreds of thousands of dollars in losses and it handed ARA the ability to do something about it.  </w:t>
      </w:r>
    </w:p>
    <w:p w14:paraId="6B962C4E" w14:textId="77777777" w:rsidR="00C70F40" w:rsidRDefault="000F066A" w:rsidP="00DE4230">
      <w:pPr>
        <w:spacing w:line="480" w:lineRule="auto"/>
      </w:pPr>
      <w:r>
        <w:t xml:space="preserve">At this point in time, both the house dining halls </w:t>
      </w:r>
      <w:r w:rsidR="004730CC">
        <w:t xml:space="preserve">in Baker, </w:t>
      </w:r>
      <w:proofErr w:type="spellStart"/>
      <w:r w:rsidR="004730CC">
        <w:t>MacGreggor</w:t>
      </w:r>
      <w:proofErr w:type="spellEnd"/>
      <w:r w:rsidR="004730CC">
        <w:t xml:space="preserve">, McCormick, and Next, </w:t>
      </w:r>
      <w:r>
        <w:t>and the large central dining hall were open – with the house dining halls losing half a million dollars a year.  In 1992</w:t>
      </w:r>
      <w:r w:rsidR="00D61E7B">
        <w:t>, with the renewed focus on breaking even,</w:t>
      </w:r>
      <w:r w:rsidR="00C70F40">
        <w:t xml:space="preserve"> the dorm dining halls were on the chopping block.</w:t>
      </w:r>
      <w:r w:rsidR="00C70F40">
        <w:rPr>
          <w:rStyle w:val="FootnoteReference"/>
        </w:rPr>
        <w:footnoteReference w:id="48"/>
      </w:r>
      <w:r w:rsidR="00C70F40">
        <w:t xml:space="preserve">  </w:t>
      </w:r>
      <w:r w:rsidR="00C70F40">
        <w:lastRenderedPageBreak/>
        <w:t>Initially</w:t>
      </w:r>
      <w:r w:rsidR="00D61E7B">
        <w:t>,</w:t>
      </w:r>
      <w:r w:rsidR="00C70F40">
        <w:t xml:space="preserve"> the House Dining Committee </w:t>
      </w:r>
      <w:r>
        <w:t xml:space="preserve">planned to keep house dining open </w:t>
      </w:r>
      <w:r w:rsidR="004730CC">
        <w:t xml:space="preserve">in those four houses </w:t>
      </w:r>
      <w:r>
        <w:t xml:space="preserve">since 38% of students </w:t>
      </w:r>
      <w:r w:rsidR="004730CC">
        <w:t xml:space="preserve">surveyed </w:t>
      </w:r>
      <w:r>
        <w:t xml:space="preserve">said that dining contributed “a great deal” to their dorms’ culture.  </w:t>
      </w:r>
      <w:r w:rsidR="00D61E7B">
        <w:t>T</w:t>
      </w:r>
      <w:r>
        <w:t xml:space="preserve">he committee </w:t>
      </w:r>
      <w:r w:rsidR="00D61E7B">
        <w:t>wanted</w:t>
      </w:r>
      <w:r>
        <w:t xml:space="preserve"> to</w:t>
      </w:r>
      <w:r w:rsidR="00C70F40">
        <w:t xml:space="preserve"> charge students living in dorms with dining halls $1,300 per year for 35% of the retail price of food.  However, this proposal was met </w:t>
      </w:r>
      <w:r w:rsidR="00A971D6">
        <w:t>with strong criticism and was immediately revised.</w:t>
      </w:r>
      <w:r w:rsidR="00A971D6">
        <w:rPr>
          <w:rStyle w:val="FootnoteReference"/>
        </w:rPr>
        <w:footnoteReference w:id="49"/>
      </w:r>
      <w:r w:rsidR="00A971D6">
        <w:t xml:space="preserve">  The new plan </w:t>
      </w:r>
      <w:r w:rsidR="00D61E7B">
        <w:t>was that everyone living in I</w:t>
      </w:r>
      <w:r w:rsidR="00A971D6">
        <w:t xml:space="preserve">nstitute housing </w:t>
      </w:r>
      <w:r w:rsidR="00D61E7B">
        <w:t xml:space="preserve">would </w:t>
      </w:r>
      <w:r w:rsidR="00A971D6">
        <w:t>pay $100 and students living in the dorms with dining would pay an extra $400.</w:t>
      </w:r>
      <w:r w:rsidR="00A971D6">
        <w:rPr>
          <w:rStyle w:val="FootnoteReference"/>
        </w:rPr>
        <w:footnoteReference w:id="50"/>
      </w:r>
      <w:r w:rsidR="00A971D6">
        <w:t xml:space="preserve">  This too was met with skepticism, because the students who did not use house dining did not want to pay to keep it alive.  Next</w:t>
      </w:r>
      <w:r>
        <w:t>,</w:t>
      </w:r>
      <w:r w:rsidR="00A971D6">
        <w:t xml:space="preserve"> the administration proposed a $1,150 plan which provided 5 dinners a week</w:t>
      </w:r>
      <w:r>
        <w:t xml:space="preserve"> only in the house dining halls</w:t>
      </w:r>
      <w:r w:rsidR="00A971D6">
        <w:t>.</w:t>
      </w:r>
      <w:r w:rsidR="00A971D6">
        <w:rPr>
          <w:rStyle w:val="FootnoteReference"/>
        </w:rPr>
        <w:footnoteReference w:id="51"/>
      </w:r>
      <w:r w:rsidR="00A971D6">
        <w:t xml:space="preserve">  This mandatory program was rejected </w:t>
      </w:r>
      <w:r>
        <w:t xml:space="preserve">as well </w:t>
      </w:r>
      <w:r w:rsidR="00A971D6">
        <w:t xml:space="preserve">after “intense” criticism.  Many students </w:t>
      </w:r>
      <w:r>
        <w:t xml:space="preserve">said that they </w:t>
      </w:r>
      <w:r w:rsidR="00A971D6">
        <w:t xml:space="preserve">would rather have their dining halls closed than pay for the mandatory </w:t>
      </w:r>
      <w:r>
        <w:t>meals</w:t>
      </w:r>
      <w:r w:rsidR="00A971D6">
        <w:t>.</w:t>
      </w:r>
    </w:p>
    <w:p w14:paraId="7B2EAC4F" w14:textId="4A6E6E6D" w:rsidR="00797920" w:rsidRDefault="000F066A" w:rsidP="00797920">
      <w:pPr>
        <w:spacing w:line="480" w:lineRule="auto"/>
      </w:pPr>
      <w:r>
        <w:t>I</w:t>
      </w:r>
      <w:r w:rsidR="00A971D6">
        <w:t xml:space="preserve">n 1993, the Institute </w:t>
      </w:r>
      <w:r>
        <w:t xml:space="preserve">gave in </w:t>
      </w:r>
      <w:r w:rsidR="00D61E7B">
        <w:t>to student demand and dining became</w:t>
      </w:r>
      <w:r>
        <w:t xml:space="preserve"> voluntary again</w:t>
      </w:r>
      <w:r w:rsidR="00A971D6">
        <w:t>.</w:t>
      </w:r>
      <w:r w:rsidR="00A971D6">
        <w:rPr>
          <w:rStyle w:val="FootnoteReference"/>
        </w:rPr>
        <w:footnoteReference w:id="52"/>
      </w:r>
      <w:r w:rsidR="00A971D6">
        <w:t xml:space="preserve">  </w:t>
      </w:r>
      <w:r w:rsidR="00732A54">
        <w:t xml:space="preserve">As part of the plan, </w:t>
      </w:r>
      <w:r w:rsidR="00A971D6">
        <w:t xml:space="preserve">McCormick and </w:t>
      </w:r>
      <w:proofErr w:type="spellStart"/>
      <w:r w:rsidR="00A971D6">
        <w:t>MacGregor</w:t>
      </w:r>
      <w:proofErr w:type="spellEnd"/>
      <w:r w:rsidR="00A971D6">
        <w:t xml:space="preserve"> would </w:t>
      </w:r>
      <w:r>
        <w:t xml:space="preserve">be </w:t>
      </w:r>
      <w:r w:rsidR="00A971D6">
        <w:t>close</w:t>
      </w:r>
      <w:r>
        <w:t>d</w:t>
      </w:r>
      <w:r w:rsidR="00A971D6">
        <w:t>.  The administration admitted that the plan was risky.  However Maguire said that he lost money with a mandatory plan, and he will probably lose money with a voluntary plan as well.</w:t>
      </w:r>
      <w:r w:rsidR="00797920">
        <w:t xml:space="preserve">  The students widely approved of the plan, even the students at the dorms with dining halls that were closing.  Maguire described the move </w:t>
      </w:r>
      <w:r w:rsidR="00210875">
        <w:t xml:space="preserve">to voluntary </w:t>
      </w:r>
      <w:r w:rsidR="00797920">
        <w:t>as a “new mind set” and that it followed student input.</w:t>
      </w:r>
      <w:r w:rsidR="00797920">
        <w:rPr>
          <w:rStyle w:val="FootnoteReference"/>
        </w:rPr>
        <w:footnoteReference w:id="53"/>
      </w:r>
      <w:r w:rsidR="00797920">
        <w:t xml:space="preserve">  He also described it as “a gamble we'll have to take”.  Alan Leo, the ARA manager praised the plan, “We will change the meal plan to suit whatever anyone wants. It's obviously in our best interests to have what the customer wants.”  </w:t>
      </w:r>
    </w:p>
    <w:p w14:paraId="48955C31" w14:textId="77777777" w:rsidR="00431635" w:rsidRDefault="00797920" w:rsidP="00797920">
      <w:pPr>
        <w:spacing w:line="480" w:lineRule="auto"/>
      </w:pPr>
      <w:r>
        <w:lastRenderedPageBreak/>
        <w:t xml:space="preserve">However, </w:t>
      </w:r>
      <w:r w:rsidR="00210875">
        <w:t xml:space="preserve">one </w:t>
      </w:r>
      <w:r>
        <w:t>student complained that much of the food service disappeared with the mandatory requirement.</w:t>
      </w:r>
      <w:r>
        <w:rPr>
          <w:rStyle w:val="FootnoteReference"/>
        </w:rPr>
        <w:footnoteReference w:id="54"/>
      </w:r>
      <w:r w:rsidR="00210875">
        <w:t xml:space="preserve">In addition to McCormick and </w:t>
      </w:r>
      <w:proofErr w:type="spellStart"/>
      <w:r w:rsidR="00210875">
        <w:t>MacGregor</w:t>
      </w:r>
      <w:proofErr w:type="spellEnd"/>
      <w:r w:rsidR="00210875">
        <w:t xml:space="preserve">, </w:t>
      </w:r>
      <w:r w:rsidR="00DF58B0">
        <w:t xml:space="preserve">Pritchett closed and Walker cut its hours later </w:t>
      </w:r>
      <w:r w:rsidR="004730CC">
        <w:t>in 1993</w:t>
      </w:r>
      <w:r w:rsidR="00DF58B0">
        <w:t>.</w:t>
      </w:r>
      <w:r w:rsidR="00DF58B0">
        <w:rPr>
          <w:rStyle w:val="FootnoteReference"/>
        </w:rPr>
        <w:footnoteReference w:id="55"/>
      </w:r>
      <w:r w:rsidR="00DF58B0">
        <w:t xml:space="preserve">  The students got what they wanted – eating at ARA locations was now voluntary and as a result </w:t>
      </w:r>
      <w:r w:rsidR="00210875">
        <w:t>hours were cut</w:t>
      </w:r>
      <w:r w:rsidR="00DF58B0">
        <w:t xml:space="preserve">.  </w:t>
      </w:r>
      <w:r w:rsidR="00210875">
        <w:t>However, t</w:t>
      </w:r>
      <w:r w:rsidR="00DF58B0">
        <w:t xml:space="preserve">he Institute </w:t>
      </w:r>
      <w:r w:rsidR="00210875">
        <w:t>did not get what it wanted; t</w:t>
      </w:r>
      <w:r w:rsidR="009D7E80">
        <w:t xml:space="preserve">he changes did not do much to </w:t>
      </w:r>
      <w:r w:rsidR="00210875">
        <w:t>cut losses</w:t>
      </w:r>
      <w:r w:rsidR="009D7E80">
        <w:t>.  In 1994, the dining deficit was $900,000.</w:t>
      </w:r>
      <w:r w:rsidR="009D7E80">
        <w:rPr>
          <w:rStyle w:val="FootnoteReference"/>
        </w:rPr>
        <w:footnoteReference w:id="56"/>
      </w:r>
      <w:r w:rsidR="005F3BE8">
        <w:t>The</w:t>
      </w:r>
      <w:r w:rsidR="00210875">
        <w:t xml:space="preserve"> voluntary plan continues to this day</w:t>
      </w:r>
      <w:r w:rsidR="005F3BE8">
        <w:t>;</w:t>
      </w:r>
      <w:r w:rsidR="00210875">
        <w:t xml:space="preserve"> however the changes after 1995 will not be covered in this paper.</w:t>
      </w:r>
    </w:p>
    <w:p w14:paraId="24FEA9A1" w14:textId="77777777" w:rsidR="00452827" w:rsidRDefault="005F3BE8" w:rsidP="00DE4230">
      <w:pPr>
        <w:spacing w:line="480" w:lineRule="auto"/>
      </w:pPr>
      <w:r>
        <w:t xml:space="preserve">Over time, the dining program grew as administrators wanted to improve student life and shrunk as break-even was sought.  </w:t>
      </w:r>
      <w:r w:rsidR="005C6194">
        <w:t>Students always needed somewhere to get food</w:t>
      </w:r>
      <w:r w:rsidR="00380F39">
        <w:t xml:space="preserve"> as part of living in a dorm</w:t>
      </w:r>
      <w:r w:rsidR="005C6194">
        <w:t xml:space="preserve">.  But in 1956, the </w:t>
      </w:r>
      <w:proofErr w:type="spellStart"/>
      <w:r w:rsidR="005C6194">
        <w:t>Ryer</w:t>
      </w:r>
      <w:proofErr w:type="spellEnd"/>
      <w:r w:rsidR="005C6194">
        <w:t xml:space="preserve"> Commission added too many locations.  It built house dining halls to create community, and then built a large central dining hall only a few hundred feet away.  Student kitchens were encouraged </w:t>
      </w:r>
      <w:r w:rsidR="00380F39">
        <w:t>at that time, and again later.</w:t>
      </w:r>
      <w:r w:rsidR="005C6194">
        <w:t xml:space="preserve">  The capacity and variety of the system increased faster the number of students.  Students were sometimes forced to eat at the house dining hall, but even this could not make the system break even. </w:t>
      </w:r>
      <w:r w:rsidR="00CF63D3">
        <w:t>Dining rooms sw</w:t>
      </w:r>
      <w:r w:rsidR="00380F39">
        <w:t>itched between all-you-can-</w:t>
      </w:r>
      <w:r w:rsidR="00F73080">
        <w:t>eat C</w:t>
      </w:r>
      <w:r w:rsidR="00CF63D3">
        <w:t xml:space="preserve">ommons and a la carte every few years.  Financial self-sufficiency was a constant dream, but always was out of reach, some years more than others.  </w:t>
      </w:r>
      <w:r w:rsidR="00162227">
        <w:t xml:space="preserve">The </w:t>
      </w:r>
      <w:proofErr w:type="spellStart"/>
      <w:r w:rsidR="00162227">
        <w:t>Ryer</w:t>
      </w:r>
      <w:proofErr w:type="spellEnd"/>
      <w:r w:rsidR="00162227">
        <w:t xml:space="preserve"> report created the problem by expanding the system far beyond what was sustainable.  </w:t>
      </w:r>
      <w:r w:rsidR="005C6194">
        <w:t xml:space="preserve">Ever since then the system has struggled to maintain all of the options.  The tension and strife from the constant losses led to a constant series of commissions, reports, and changes.  The right answer </w:t>
      </w:r>
      <w:r w:rsidR="00380F39">
        <w:t>was</w:t>
      </w:r>
      <w:r w:rsidR="005C6194">
        <w:t xml:space="preserve"> not </w:t>
      </w:r>
      <w:r w:rsidR="00380F39">
        <w:t xml:space="preserve">to </w:t>
      </w:r>
      <w:r w:rsidR="005C6194">
        <w:t xml:space="preserve">be found.  The system did </w:t>
      </w:r>
      <w:r w:rsidR="00993A8D">
        <w:t>manage</w:t>
      </w:r>
      <w:r w:rsidR="005C6194">
        <w:t xml:space="preserve"> to build one </w:t>
      </w:r>
      <w:r w:rsidR="00993A8D">
        <w:t>community</w:t>
      </w:r>
      <w:r w:rsidR="005C6194">
        <w:t xml:space="preserve"> at least: a </w:t>
      </w:r>
      <w:r w:rsidR="00993A8D">
        <w:t xml:space="preserve">community of students fighting for a system that met their needs and </w:t>
      </w:r>
      <w:r w:rsidR="0064374B">
        <w:t>was in line</w:t>
      </w:r>
      <w:r w:rsidR="00D955B6">
        <w:t xml:space="preserve"> </w:t>
      </w:r>
      <w:r w:rsidR="0064374B">
        <w:t xml:space="preserve">with </w:t>
      </w:r>
      <w:r w:rsidR="00993A8D">
        <w:t>their bank account</w:t>
      </w:r>
      <w:r w:rsidR="0064374B">
        <w:t>s</w:t>
      </w:r>
      <w:r w:rsidR="00993A8D">
        <w:t>.</w:t>
      </w:r>
    </w:p>
    <w:p w14:paraId="58BE598F" w14:textId="77777777" w:rsidR="00210875" w:rsidRDefault="00210875" w:rsidP="00DE4230">
      <w:pPr>
        <w:spacing w:line="480" w:lineRule="auto"/>
      </w:pPr>
    </w:p>
    <w:sectPr w:rsidR="00210875" w:rsidSect="00F24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6833D" w14:textId="77777777" w:rsidR="002D7A7F" w:rsidRDefault="002D7A7F" w:rsidP="00FA0BA9">
      <w:pPr>
        <w:spacing w:after="0" w:line="240" w:lineRule="auto"/>
      </w:pPr>
      <w:r>
        <w:separator/>
      </w:r>
    </w:p>
  </w:endnote>
  <w:endnote w:type="continuationSeparator" w:id="0">
    <w:p w14:paraId="4BE144A2" w14:textId="77777777" w:rsidR="002D7A7F" w:rsidRDefault="002D7A7F" w:rsidP="00FA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B9B5" w14:textId="77777777" w:rsidR="002D7A7F" w:rsidRDefault="002D7A7F" w:rsidP="00FA0BA9">
      <w:pPr>
        <w:spacing w:after="0" w:line="240" w:lineRule="auto"/>
      </w:pPr>
      <w:r>
        <w:separator/>
      </w:r>
    </w:p>
  </w:footnote>
  <w:footnote w:type="continuationSeparator" w:id="0">
    <w:p w14:paraId="10348CF8" w14:textId="77777777" w:rsidR="002D7A7F" w:rsidRDefault="002D7A7F" w:rsidP="00FA0BA9">
      <w:pPr>
        <w:spacing w:after="0" w:line="240" w:lineRule="auto"/>
      </w:pPr>
      <w:r>
        <w:continuationSeparator/>
      </w:r>
    </w:p>
  </w:footnote>
  <w:footnote w:id="1">
    <w:p w14:paraId="3360B4DB" w14:textId="77777777" w:rsidR="006B7B7A" w:rsidRDefault="00B64E16" w:rsidP="006B7B7A">
      <w:pPr>
        <w:pStyle w:val="FootnoteText"/>
      </w:pPr>
      <w:r>
        <w:rPr>
          <w:rStyle w:val="FootnoteReference"/>
        </w:rPr>
        <w:footnoteRef/>
      </w:r>
      <w:proofErr w:type="spellStart"/>
      <w:r w:rsidR="006B7B7A">
        <w:t>Jarzombek</w:t>
      </w:r>
      <w:proofErr w:type="spellEnd"/>
      <w:r w:rsidR="006B7B7A">
        <w:t xml:space="preserve">, Mark M, </w:t>
      </w:r>
      <w:r w:rsidRPr="006B7B7A">
        <w:rPr>
          <w:i/>
        </w:rPr>
        <w:t>Designing MIT: Bosworth’s New Tech</w:t>
      </w:r>
      <w:r w:rsidR="006B7B7A">
        <w:t>(Boston: Northeastern University</w:t>
      </w:r>
    </w:p>
    <w:p w14:paraId="20071252" w14:textId="77777777" w:rsidR="00B64E16" w:rsidRDefault="006B7B7A" w:rsidP="006B7B7A">
      <w:pPr>
        <w:pStyle w:val="FootnoteText"/>
      </w:pPr>
      <w:r>
        <w:t xml:space="preserve">Press, 2004), </w:t>
      </w:r>
      <w:r w:rsidR="00B64E16">
        <w:t>p</w:t>
      </w:r>
      <w:r>
        <w:t xml:space="preserve">. </w:t>
      </w:r>
      <w:r w:rsidR="00B64E16">
        <w:t>108</w:t>
      </w:r>
      <w:r>
        <w:t>.</w:t>
      </w:r>
    </w:p>
  </w:footnote>
  <w:footnote w:id="2">
    <w:p w14:paraId="4A56A8AF" w14:textId="77777777" w:rsidR="007A56B3" w:rsidRDefault="007A56B3">
      <w:pPr>
        <w:pStyle w:val="FootnoteText"/>
      </w:pPr>
      <w:r>
        <w:rPr>
          <w:rStyle w:val="FootnoteReference"/>
        </w:rPr>
        <w:footnoteRef/>
      </w:r>
      <w:r w:rsidR="006B7B7A">
        <w:t xml:space="preserve">Tyler, H. W.  ’84, </w:t>
      </w:r>
      <w:r w:rsidR="006B7B7A" w:rsidRPr="006B7B7A">
        <w:t>Letter</w:t>
      </w:r>
      <w:r w:rsidR="006B7B7A">
        <w:t xml:space="preserve">, </w:t>
      </w:r>
      <w:r w:rsidRPr="006B7B7A">
        <w:rPr>
          <w:i/>
        </w:rPr>
        <w:t>Technology Review 1913</w:t>
      </w:r>
      <w:r w:rsidR="006B7B7A" w:rsidRPr="006B7B7A">
        <w:t>,</w:t>
      </w:r>
      <w:r>
        <w:t xml:space="preserve"> p</w:t>
      </w:r>
      <w:r w:rsidR="006B7B7A">
        <w:t>.</w:t>
      </w:r>
      <w:r>
        <w:t xml:space="preserve"> 7</w:t>
      </w:r>
      <w:r w:rsidR="006B7B7A">
        <w:t>.</w:t>
      </w:r>
    </w:p>
  </w:footnote>
  <w:footnote w:id="3">
    <w:p w14:paraId="799213B1" w14:textId="77777777" w:rsidR="007A56B3" w:rsidRDefault="007A56B3">
      <w:pPr>
        <w:pStyle w:val="FootnoteText"/>
      </w:pPr>
      <w:r>
        <w:rPr>
          <w:rStyle w:val="FootnoteReference"/>
        </w:rPr>
        <w:footnoteRef/>
      </w:r>
      <w:r>
        <w:t xml:space="preserve"> Locke</w:t>
      </w:r>
      <w:r w:rsidR="006B7B7A">
        <w:t xml:space="preserve">, Frank L. </w:t>
      </w:r>
      <w:r>
        <w:t xml:space="preserve"> ’86</w:t>
      </w:r>
      <w:r w:rsidR="006B7B7A">
        <w:t xml:space="preserve">, Letter, </w:t>
      </w:r>
      <w:r w:rsidRPr="006B7B7A">
        <w:rPr>
          <w:i/>
        </w:rPr>
        <w:t>Technology Review 1913</w:t>
      </w:r>
      <w:r w:rsidR="006B7B7A">
        <w:t>,</w:t>
      </w:r>
      <w:r>
        <w:t xml:space="preserve"> p</w:t>
      </w:r>
      <w:r w:rsidR="006B7B7A">
        <w:t>.</w:t>
      </w:r>
      <w:r>
        <w:t xml:space="preserve"> 34</w:t>
      </w:r>
      <w:r w:rsidR="006B7B7A">
        <w:t>.</w:t>
      </w:r>
    </w:p>
  </w:footnote>
  <w:footnote w:id="4">
    <w:p w14:paraId="740A707F" w14:textId="77777777" w:rsidR="007A56B3" w:rsidRDefault="007A56B3">
      <w:pPr>
        <w:pStyle w:val="FootnoteText"/>
      </w:pPr>
      <w:r>
        <w:rPr>
          <w:rStyle w:val="FootnoteReference"/>
        </w:rPr>
        <w:footnoteRef/>
      </w:r>
      <w:r>
        <w:t xml:space="preserve"> Burton</w:t>
      </w:r>
      <w:r w:rsidR="006B7B7A">
        <w:t xml:space="preserve">, Alfred E., Letter, </w:t>
      </w:r>
      <w:r w:rsidRPr="006B7B7A">
        <w:rPr>
          <w:i/>
        </w:rPr>
        <w:t>Technology Review 1913</w:t>
      </w:r>
      <w:r w:rsidR="006B7B7A">
        <w:t>,</w:t>
      </w:r>
      <w:r>
        <w:t xml:space="preserve"> p</w:t>
      </w:r>
      <w:r w:rsidR="006B7B7A">
        <w:t>.</w:t>
      </w:r>
      <w:r>
        <w:t xml:space="preserve"> 11</w:t>
      </w:r>
      <w:r w:rsidR="006B7B7A">
        <w:t>.</w:t>
      </w:r>
    </w:p>
  </w:footnote>
  <w:footnote w:id="5">
    <w:p w14:paraId="4F8ABA70" w14:textId="14B74A70" w:rsidR="00B64E16" w:rsidRDefault="00B64E16">
      <w:pPr>
        <w:pStyle w:val="FootnoteText"/>
      </w:pPr>
      <w:r>
        <w:rPr>
          <w:rStyle w:val="FootnoteReference"/>
        </w:rPr>
        <w:footnoteRef/>
      </w:r>
      <w:r w:rsidR="006B2804">
        <w:rPr>
          <w:i/>
        </w:rPr>
        <w:t xml:space="preserve"> </w:t>
      </w:r>
      <w:r w:rsidR="006B7B7A" w:rsidRPr="006B7B7A">
        <w:rPr>
          <w:i/>
        </w:rPr>
        <w:t>MIT Virtual Tour: Infinite Corridor</w:t>
      </w:r>
      <w:r w:rsidR="006B7B7A">
        <w:t xml:space="preserve">. </w:t>
      </w:r>
      <w:r w:rsidRPr="006B310E">
        <w:t>http://web.mit.edu/vrtour/n3_index.html</w:t>
      </w:r>
    </w:p>
  </w:footnote>
  <w:footnote w:id="6">
    <w:p w14:paraId="181F2FBC" w14:textId="2C069CBA" w:rsidR="00B64E16" w:rsidRDefault="00B64E16">
      <w:pPr>
        <w:pStyle w:val="FootnoteText"/>
      </w:pPr>
      <w:r>
        <w:rPr>
          <w:rStyle w:val="FootnoteReference"/>
        </w:rPr>
        <w:footnoteRef/>
      </w:r>
      <w:r w:rsidR="006B2804">
        <w:t xml:space="preserve"> </w:t>
      </w:r>
      <w:proofErr w:type="spellStart"/>
      <w:r w:rsidR="00FC253A" w:rsidRPr="00FC253A">
        <w:t>Brobbey</w:t>
      </w:r>
      <w:proofErr w:type="spellEnd"/>
      <w:r w:rsidR="00FC253A">
        <w:t>, Valery K., “</w:t>
      </w:r>
      <w:r w:rsidR="00FC253A" w:rsidRPr="00FC253A">
        <w:t>Preferred Dining Cost Will Increase Again</w:t>
      </w:r>
      <w:r w:rsidR="00280481">
        <w:t>,”</w:t>
      </w:r>
      <w:r w:rsidR="006B2804">
        <w:t xml:space="preserve"> </w:t>
      </w:r>
      <w:r w:rsidRPr="00FC253A">
        <w:rPr>
          <w:i/>
        </w:rPr>
        <w:t>The Tech</w:t>
      </w:r>
      <w:r w:rsidR="00802F70">
        <w:t>,</w:t>
      </w:r>
      <w:r w:rsidR="006B2804">
        <w:t xml:space="preserve"> </w:t>
      </w:r>
      <w:r w:rsidR="00802F70">
        <w:t>v.</w:t>
      </w:r>
      <w:r>
        <w:t xml:space="preserve"> 127 </w:t>
      </w:r>
      <w:r w:rsidR="00802F70">
        <w:t>n.</w:t>
      </w:r>
      <w:r>
        <w:t xml:space="preserve"> 16</w:t>
      </w:r>
      <w:r w:rsidR="00EF7E19">
        <w:t>, 6 April 2007, p. 1.</w:t>
      </w:r>
    </w:p>
  </w:footnote>
  <w:footnote w:id="7">
    <w:p w14:paraId="7F76F8FD" w14:textId="77777777" w:rsidR="00DB1E6D" w:rsidRDefault="00DB1E6D">
      <w:pPr>
        <w:pStyle w:val="FootnoteText"/>
      </w:pPr>
      <w:r>
        <w:rPr>
          <w:rStyle w:val="FootnoteReference"/>
        </w:rPr>
        <w:footnoteRef/>
      </w:r>
      <w:r>
        <w:t xml:space="preserve"> Locke</w:t>
      </w:r>
      <w:r w:rsidR="00FC253A">
        <w:t xml:space="preserve">, Frank L. </w:t>
      </w:r>
      <w:r>
        <w:t xml:space="preserve"> ’86</w:t>
      </w:r>
      <w:r w:rsidR="00FC253A">
        <w:t xml:space="preserve">, Letter, </w:t>
      </w:r>
      <w:r w:rsidRPr="00FC253A">
        <w:rPr>
          <w:i/>
        </w:rPr>
        <w:t>Technology Review 1913</w:t>
      </w:r>
      <w:r w:rsidR="00FC253A">
        <w:t>,</w:t>
      </w:r>
      <w:r>
        <w:t xml:space="preserve"> p</w:t>
      </w:r>
      <w:r w:rsidR="00FC253A">
        <w:t>.</w:t>
      </w:r>
      <w:r>
        <w:t xml:space="preserve"> 34</w:t>
      </w:r>
      <w:r w:rsidR="00FC253A">
        <w:t>.</w:t>
      </w:r>
    </w:p>
  </w:footnote>
  <w:footnote w:id="8">
    <w:p w14:paraId="123AFCDF" w14:textId="77777777" w:rsidR="00DB1E6D" w:rsidRDefault="00DB1E6D">
      <w:pPr>
        <w:pStyle w:val="FootnoteText"/>
      </w:pPr>
      <w:r>
        <w:rPr>
          <w:rStyle w:val="FootnoteReference"/>
        </w:rPr>
        <w:footnoteRef/>
      </w:r>
      <w:r>
        <w:t xml:space="preserve"> Tyler</w:t>
      </w:r>
      <w:r w:rsidR="00FC253A">
        <w:t xml:space="preserve">, H. W. </w:t>
      </w:r>
      <w:r>
        <w:t>’84</w:t>
      </w:r>
      <w:r w:rsidR="00FC253A">
        <w:t xml:space="preserve">, </w:t>
      </w:r>
      <w:r w:rsidRPr="00FC253A">
        <w:rPr>
          <w:i/>
        </w:rPr>
        <w:t>Technology Review 1913</w:t>
      </w:r>
      <w:r w:rsidR="00FC253A">
        <w:t>,</w:t>
      </w:r>
      <w:r>
        <w:t xml:space="preserve"> p</w:t>
      </w:r>
      <w:r w:rsidR="00FC253A">
        <w:t>.</w:t>
      </w:r>
      <w:r>
        <w:t xml:space="preserve"> 7</w:t>
      </w:r>
      <w:r w:rsidR="00FC253A">
        <w:t>.</w:t>
      </w:r>
    </w:p>
  </w:footnote>
  <w:footnote w:id="9">
    <w:p w14:paraId="7C03AD55" w14:textId="1EDA0F5E" w:rsidR="00B64E16" w:rsidRDefault="00B64E16">
      <w:pPr>
        <w:pStyle w:val="FootnoteText"/>
      </w:pPr>
      <w:r>
        <w:rPr>
          <w:rStyle w:val="FootnoteReference"/>
        </w:rPr>
        <w:footnoteRef/>
      </w:r>
      <w:proofErr w:type="gramStart"/>
      <w:r w:rsidR="00FC253A">
        <w:t xml:space="preserve">“Walker </w:t>
      </w:r>
      <w:r w:rsidR="00802F70">
        <w:t>Facilities</w:t>
      </w:r>
      <w:r w:rsidR="00FC253A">
        <w:t xml:space="preserve"> to be </w:t>
      </w:r>
      <w:r w:rsidR="00802F70">
        <w:t>Curtailed during Construction</w:t>
      </w:r>
      <w:r w:rsidR="00280481">
        <w:t>,”</w:t>
      </w:r>
      <w:r w:rsidR="006B2804">
        <w:t xml:space="preserve"> </w:t>
      </w:r>
      <w:r w:rsidRPr="00802F70">
        <w:rPr>
          <w:i/>
        </w:rPr>
        <w:t>The Tech</w:t>
      </w:r>
      <w:r w:rsidR="00802F70">
        <w:t>,</w:t>
      </w:r>
      <w:r w:rsidR="006B2804">
        <w:t xml:space="preserve"> </w:t>
      </w:r>
      <w:r w:rsidR="00802F70">
        <w:t>v. 69 n.</w:t>
      </w:r>
      <w:r>
        <w:t xml:space="preserve"> 16</w:t>
      </w:r>
      <w:r w:rsidR="00802F70">
        <w:t>, 25 M</w:t>
      </w:r>
      <w:r w:rsidR="00EF7E19">
        <w:t>ar 1949, p. 1.</w:t>
      </w:r>
      <w:proofErr w:type="gramEnd"/>
    </w:p>
  </w:footnote>
  <w:footnote w:id="10">
    <w:p w14:paraId="341D8A2B" w14:textId="77777777" w:rsidR="00802F70" w:rsidRDefault="00B64E16" w:rsidP="00802F70">
      <w:pPr>
        <w:pStyle w:val="FootnoteText"/>
      </w:pPr>
      <w:r>
        <w:rPr>
          <w:rStyle w:val="FootnoteReference"/>
        </w:rPr>
        <w:footnoteRef/>
      </w:r>
      <w:r w:rsidR="00802F70">
        <w:t>“High Cost of Living</w:t>
      </w:r>
      <w:r w:rsidR="00280481">
        <w:t>,”</w:t>
      </w:r>
      <w:r w:rsidR="00802F70">
        <w:t xml:space="preserve"> Editorial, </w:t>
      </w:r>
      <w:proofErr w:type="gramStart"/>
      <w:r w:rsidR="00802F70" w:rsidRPr="00802F70">
        <w:rPr>
          <w:i/>
        </w:rPr>
        <w:t>The</w:t>
      </w:r>
      <w:proofErr w:type="gramEnd"/>
      <w:r w:rsidR="00802F70" w:rsidRPr="00802F70">
        <w:rPr>
          <w:i/>
        </w:rPr>
        <w:t xml:space="preserve"> Tech</w:t>
      </w:r>
      <w:r w:rsidR="00802F70">
        <w:t>, v. 69 n. 15, 22 M</w:t>
      </w:r>
      <w:r w:rsidR="00EF7E19">
        <w:t>ar 1949, p. 2.</w:t>
      </w:r>
    </w:p>
    <w:p w14:paraId="6C4A69DC" w14:textId="77777777" w:rsidR="00B64E16" w:rsidRDefault="00B64E16">
      <w:pPr>
        <w:pStyle w:val="FootnoteText"/>
      </w:pPr>
    </w:p>
  </w:footnote>
  <w:footnote w:id="11">
    <w:p w14:paraId="7DCC1FBE" w14:textId="0AFAFB5E" w:rsidR="00B64E16" w:rsidRDefault="00B64E16" w:rsidP="00B64E16">
      <w:pPr>
        <w:pStyle w:val="FootnoteText"/>
      </w:pPr>
      <w:r>
        <w:rPr>
          <w:rStyle w:val="FootnoteReference"/>
        </w:rPr>
        <w:footnoteRef/>
      </w:r>
      <w:r w:rsidR="00802F70">
        <w:t xml:space="preserve">“Committee Recommends New Dorm, </w:t>
      </w:r>
      <w:proofErr w:type="spellStart"/>
      <w:r w:rsidR="00802F70">
        <w:t>Union</w:t>
      </w:r>
      <w:r w:rsidR="00280481">
        <w:t>,”</w:t>
      </w:r>
      <w:r w:rsidRPr="00802F70">
        <w:rPr>
          <w:i/>
        </w:rPr>
        <w:t>The</w:t>
      </w:r>
      <w:proofErr w:type="spellEnd"/>
      <w:r w:rsidRPr="00802F70">
        <w:rPr>
          <w:i/>
        </w:rPr>
        <w:t xml:space="preserve"> Tech</w:t>
      </w:r>
      <w:r w:rsidR="00802F70">
        <w:t>,</w:t>
      </w:r>
      <w:r w:rsidR="006B2804">
        <w:t xml:space="preserve"> </w:t>
      </w:r>
      <w:r w:rsidR="00802F70">
        <w:t>v.</w:t>
      </w:r>
      <w:r>
        <w:t xml:space="preserve"> 76 </w:t>
      </w:r>
      <w:r w:rsidR="00802F70">
        <w:t>n.</w:t>
      </w:r>
      <w:r>
        <w:t xml:space="preserve"> 30</w:t>
      </w:r>
      <w:r w:rsidR="00802F70">
        <w:t>, 21 September 1956</w:t>
      </w:r>
      <w:r w:rsidR="00EF7E19">
        <w:t>, p. 1.</w:t>
      </w:r>
      <w:r w:rsidR="00802F70">
        <w:t xml:space="preserve">(note this is misfiled, it is </w:t>
      </w:r>
      <w:r>
        <w:t xml:space="preserve">starting at page 5 at </w:t>
      </w:r>
      <w:r w:rsidRPr="00413488">
        <w:t>http://tech.mit.edu/V76/PDF/N29.pdf</w:t>
      </w:r>
      <w:r w:rsidR="00802F70">
        <w:t>)</w:t>
      </w:r>
    </w:p>
  </w:footnote>
  <w:footnote w:id="12">
    <w:p w14:paraId="1AEAC1EC" w14:textId="09A7AC63" w:rsidR="00EB0DBA" w:rsidRPr="00EB0DBA" w:rsidRDefault="00EB0DBA" w:rsidP="00EB0DBA">
      <w:pPr>
        <w:pStyle w:val="FootnoteText"/>
      </w:pPr>
      <w:r>
        <w:rPr>
          <w:rStyle w:val="FootnoteReference"/>
        </w:rPr>
        <w:footnoteRef/>
      </w:r>
      <w:r>
        <w:t xml:space="preserve"> </w:t>
      </w:r>
      <w:r w:rsidR="006B2804">
        <w:t>“Riverside Residents Move t</w:t>
      </w:r>
      <w:r>
        <w:t xml:space="preserve">o East Wing November 1,” </w:t>
      </w:r>
      <w:r>
        <w:rPr>
          <w:i/>
        </w:rPr>
        <w:t>The Tech</w:t>
      </w:r>
      <w:r>
        <w:t>, v. 70 n. 38, 20 October 1950, p. 1.</w:t>
      </w:r>
    </w:p>
  </w:footnote>
  <w:footnote w:id="13">
    <w:p w14:paraId="3B1E44FD" w14:textId="1E3DFD83" w:rsidR="00BF3CFE" w:rsidRDefault="00BF3CFE" w:rsidP="00BF3CFE">
      <w:pPr>
        <w:pStyle w:val="FootnoteText"/>
      </w:pPr>
      <w:r>
        <w:rPr>
          <w:rStyle w:val="FootnoteReference"/>
        </w:rPr>
        <w:footnoteRef/>
      </w:r>
      <w:r w:rsidR="00802F70">
        <w:t>Committee Recommends New Dorm, Union</w:t>
      </w:r>
      <w:r w:rsidR="00280481">
        <w:t>,”</w:t>
      </w:r>
      <w:r w:rsidR="006B2804">
        <w:t xml:space="preserve"> </w:t>
      </w:r>
      <w:r w:rsidR="00802F70" w:rsidRPr="00802F70">
        <w:rPr>
          <w:i/>
        </w:rPr>
        <w:t>The Tech</w:t>
      </w:r>
      <w:r w:rsidR="00802F70">
        <w:t>, v. 76 n. 30, 21 September 1956</w:t>
      </w:r>
      <w:r w:rsidR="00EF7E19">
        <w:t>, p. 1.</w:t>
      </w:r>
      <w:r w:rsidR="00802F70">
        <w:t xml:space="preserve"> (note this is misfiled, it is starting at page 5 at </w:t>
      </w:r>
      <w:r w:rsidR="00802F70" w:rsidRPr="00413488">
        <w:t>http://tech.mit.edu/V76/PDF/N29.pdf</w:t>
      </w:r>
      <w:r w:rsidR="00802F70">
        <w:t>)</w:t>
      </w:r>
    </w:p>
  </w:footnote>
  <w:footnote w:id="14">
    <w:p w14:paraId="134977FA" w14:textId="1C0F1DE8" w:rsidR="00B64E16" w:rsidRDefault="00B64E16" w:rsidP="00802F70">
      <w:pPr>
        <w:pStyle w:val="FootnoteText"/>
      </w:pPr>
      <w:r>
        <w:rPr>
          <w:rStyle w:val="FootnoteReference"/>
        </w:rPr>
        <w:footnoteRef/>
      </w:r>
      <w:r w:rsidR="00802F70">
        <w:t xml:space="preserve">“Dorm Con Members Interviewed; Most Have Praise </w:t>
      </w:r>
      <w:proofErr w:type="gramStart"/>
      <w:r w:rsidR="00802F70">
        <w:t>For</w:t>
      </w:r>
      <w:proofErr w:type="gramEnd"/>
      <w:r w:rsidR="006B2804">
        <w:t xml:space="preserve"> </w:t>
      </w:r>
      <w:proofErr w:type="spellStart"/>
      <w:r w:rsidR="00802F70">
        <w:t>Ryer</w:t>
      </w:r>
      <w:proofErr w:type="spellEnd"/>
      <w:r w:rsidR="00802F70">
        <w:t xml:space="preserve"> Report</w:t>
      </w:r>
      <w:r w:rsidR="00280481">
        <w:t>,”</w:t>
      </w:r>
      <w:r w:rsidR="006B2804">
        <w:t xml:space="preserve"> </w:t>
      </w:r>
      <w:r w:rsidRPr="00802F70">
        <w:rPr>
          <w:i/>
        </w:rPr>
        <w:t>The Tech</w:t>
      </w:r>
      <w:r w:rsidR="00802F70">
        <w:t>,</w:t>
      </w:r>
      <w:r w:rsidR="006B2804">
        <w:t xml:space="preserve"> </w:t>
      </w:r>
      <w:r w:rsidR="00802F70">
        <w:t>v.</w:t>
      </w:r>
      <w:r>
        <w:t xml:space="preserve"> 76 </w:t>
      </w:r>
      <w:r w:rsidR="00802F70">
        <w:t>n.</w:t>
      </w:r>
      <w:r>
        <w:t xml:space="preserve"> 31</w:t>
      </w:r>
      <w:r w:rsidR="00802F70">
        <w:t>, 25 September 29 19</w:t>
      </w:r>
      <w:r w:rsidR="00EF7E19">
        <w:t>56, p. 1.</w:t>
      </w:r>
    </w:p>
  </w:footnote>
  <w:footnote w:id="15">
    <w:p w14:paraId="048C720A" w14:textId="77777777" w:rsidR="002F3079" w:rsidRDefault="002F3079" w:rsidP="002F3079">
      <w:pPr>
        <w:pStyle w:val="FootnoteText"/>
      </w:pPr>
      <w:r>
        <w:rPr>
          <w:rStyle w:val="FootnoteReference"/>
        </w:rPr>
        <w:footnoteRef/>
      </w:r>
      <w:proofErr w:type="spellStart"/>
      <w:r>
        <w:t>Trevett</w:t>
      </w:r>
      <w:proofErr w:type="spellEnd"/>
      <w:r>
        <w:t>, David '65, “</w:t>
      </w:r>
      <w:r w:rsidRPr="00802F70">
        <w:t>New Burton Dining Hall Has Troubled Childhood</w:t>
      </w:r>
      <w:r>
        <w:t xml:space="preserve">,” </w:t>
      </w:r>
      <w:r w:rsidRPr="00EF7E19">
        <w:rPr>
          <w:i/>
        </w:rPr>
        <w:t>The Tech</w:t>
      </w:r>
      <w:r>
        <w:t xml:space="preserve"> v. 81 n. 17, 4 October 1961, p. 9.</w:t>
      </w:r>
    </w:p>
  </w:footnote>
  <w:footnote w:id="16">
    <w:p w14:paraId="1AFF904C" w14:textId="2565371E" w:rsidR="00FC5B00" w:rsidRDefault="00FC5B00">
      <w:pPr>
        <w:pStyle w:val="FootnoteText"/>
      </w:pPr>
      <w:r>
        <w:rPr>
          <w:rStyle w:val="FootnoteReference"/>
        </w:rPr>
        <w:footnoteRef/>
      </w:r>
      <w:r w:rsidR="00EF7E19" w:rsidRPr="00EF7E19">
        <w:t>Evans</w:t>
      </w:r>
      <w:r w:rsidR="00EF7E19">
        <w:t>, Jerry, “</w:t>
      </w:r>
      <w:r w:rsidR="00EF7E19" w:rsidRPr="00EF7E19">
        <w:t xml:space="preserve">Commons: a </w:t>
      </w:r>
      <w:r w:rsidR="00EF7E19">
        <w:t>t</w:t>
      </w:r>
      <w:r w:rsidR="00EF7E19" w:rsidRPr="00EF7E19">
        <w:t xml:space="preserve">hirteen </w:t>
      </w:r>
      <w:r w:rsidR="00EF7E19">
        <w:t>year perspective</w:t>
      </w:r>
      <w:r w:rsidR="00280481">
        <w:t>,”</w:t>
      </w:r>
      <w:r w:rsidR="006B2804">
        <w:t xml:space="preserve"> </w:t>
      </w:r>
      <w:r w:rsidRPr="00EF7E19">
        <w:rPr>
          <w:i/>
        </w:rPr>
        <w:t>The Tech</w:t>
      </w:r>
      <w:r w:rsidR="00EF7E19">
        <w:t xml:space="preserve"> v. 90 n. </w:t>
      </w:r>
      <w:r>
        <w:t>45</w:t>
      </w:r>
      <w:r w:rsidR="00EF7E19">
        <w:t>, 13 November 1970, p. 3.</w:t>
      </w:r>
    </w:p>
  </w:footnote>
  <w:footnote w:id="17">
    <w:p w14:paraId="594F82F5" w14:textId="77777777" w:rsidR="00570444" w:rsidRDefault="00570444" w:rsidP="00570444">
      <w:pPr>
        <w:pStyle w:val="FootnoteText"/>
      </w:pPr>
      <w:r>
        <w:rPr>
          <w:rStyle w:val="FootnoteReference"/>
        </w:rPr>
        <w:footnoteRef/>
      </w:r>
      <w:proofErr w:type="spellStart"/>
      <w:proofErr w:type="gramStart"/>
      <w:r>
        <w:t>Ryer</w:t>
      </w:r>
      <w:proofErr w:type="spellEnd"/>
      <w:r>
        <w:t xml:space="preserve"> Commission Report.</w:t>
      </w:r>
      <w:proofErr w:type="gramEnd"/>
      <w:r>
        <w:t xml:space="preserve"> p. 9</w:t>
      </w:r>
    </w:p>
  </w:footnote>
  <w:footnote w:id="18">
    <w:p w14:paraId="5A5FD88E" w14:textId="4B3357B1" w:rsidR="00DA55B1" w:rsidRDefault="00DA55B1" w:rsidP="00EF7E19">
      <w:pPr>
        <w:pStyle w:val="FootnoteText"/>
      </w:pPr>
      <w:r>
        <w:rPr>
          <w:rStyle w:val="FootnoteReference"/>
        </w:rPr>
        <w:footnoteRef/>
      </w:r>
      <w:r w:rsidR="00EF7E19">
        <w:t xml:space="preserve">“Stouffer's Starts Running </w:t>
      </w:r>
      <w:proofErr w:type="spellStart"/>
      <w:r w:rsidR="00EF7E19">
        <w:t>Morss</w:t>
      </w:r>
      <w:proofErr w:type="spellEnd"/>
      <w:r w:rsidR="00EF7E19">
        <w:t xml:space="preserve"> Hall Food Service</w:t>
      </w:r>
      <w:r w:rsidR="00280481">
        <w:t>,”</w:t>
      </w:r>
      <w:r w:rsidR="006B2804">
        <w:t xml:space="preserve"> </w:t>
      </w:r>
      <w:r w:rsidRPr="00EF7E19">
        <w:rPr>
          <w:i/>
        </w:rPr>
        <w:t xml:space="preserve">The </w:t>
      </w:r>
      <w:proofErr w:type="spellStart"/>
      <w:r w:rsidRPr="00EF7E19">
        <w:rPr>
          <w:i/>
        </w:rPr>
        <w:t>Tech</w:t>
      </w:r>
      <w:proofErr w:type="gramStart"/>
      <w:r w:rsidR="00EF7E19">
        <w:t>,v</w:t>
      </w:r>
      <w:proofErr w:type="spellEnd"/>
      <w:proofErr w:type="gramEnd"/>
      <w:r w:rsidR="00EF7E19">
        <w:t>.</w:t>
      </w:r>
      <w:r>
        <w:t xml:space="preserve"> 77 </w:t>
      </w:r>
      <w:r w:rsidR="00EF7E19">
        <w:t>n.</w:t>
      </w:r>
      <w:r>
        <w:t xml:space="preserve"> 1</w:t>
      </w:r>
      <w:r w:rsidR="00EF7E19">
        <w:t>, 8 February 1957, p. 1.</w:t>
      </w:r>
    </w:p>
  </w:footnote>
  <w:footnote w:id="19">
    <w:p w14:paraId="2A039A7A" w14:textId="0BB7F79F" w:rsidR="00D74652" w:rsidRDefault="00D74652">
      <w:pPr>
        <w:pStyle w:val="FootnoteText"/>
      </w:pPr>
      <w:r>
        <w:rPr>
          <w:rStyle w:val="FootnoteReference"/>
        </w:rPr>
        <w:footnoteRef/>
      </w:r>
      <w:r>
        <w:t>Holden</w:t>
      </w:r>
      <w:r w:rsidR="00EF7E19">
        <w:t>, Robert J,</w:t>
      </w:r>
      <w:r>
        <w:t xml:space="preserve"> Associate Director of Student Affairs</w:t>
      </w:r>
      <w:r w:rsidR="00EF7E19">
        <w:t>, Letter</w:t>
      </w:r>
      <w:proofErr w:type="gramStart"/>
      <w:r w:rsidR="00EF7E19">
        <w:t>,5</w:t>
      </w:r>
      <w:proofErr w:type="gramEnd"/>
      <w:r w:rsidR="00EF7E19">
        <w:t xml:space="preserve"> April</w:t>
      </w:r>
      <w:r>
        <w:t xml:space="preserve"> 1963</w:t>
      </w:r>
      <w:r w:rsidR="00EF7E19">
        <w:t>.</w:t>
      </w:r>
      <w:r>
        <w:t xml:space="preserve"> Institute Archives AC 115 Box 9 folder “Student Center:</w:t>
      </w:r>
      <w:r w:rsidR="006B2804">
        <w:t xml:space="preserve"> </w:t>
      </w:r>
      <w:r>
        <w:t>Dining Services, 1967-1968”</w:t>
      </w:r>
    </w:p>
  </w:footnote>
  <w:footnote w:id="20">
    <w:p w14:paraId="6749FA75" w14:textId="77777777" w:rsidR="00D74652" w:rsidRDefault="00D74652" w:rsidP="00D74652">
      <w:pPr>
        <w:pStyle w:val="FootnoteText"/>
      </w:pPr>
      <w:r>
        <w:rPr>
          <w:rStyle w:val="FootnoteReference"/>
        </w:rPr>
        <w:footnoteRef/>
      </w:r>
      <w:r w:rsidR="00EC70EA">
        <w:t xml:space="preserve">“Is </w:t>
      </w:r>
      <w:proofErr w:type="spellStart"/>
      <w:r w:rsidR="00EC70EA">
        <w:t>Stoffer’s</w:t>
      </w:r>
      <w:proofErr w:type="spellEnd"/>
      <w:r w:rsidR="00EC70EA">
        <w:t xml:space="preserve"> Here to Stay</w:t>
      </w:r>
      <w:proofErr w:type="gramStart"/>
      <w:r w:rsidR="00EC70EA">
        <w:t>?</w:t>
      </w:r>
      <w:r w:rsidR="00280481">
        <w:t>,</w:t>
      </w:r>
      <w:proofErr w:type="gramEnd"/>
      <w:r w:rsidR="00280481">
        <w:t>”</w:t>
      </w:r>
      <w:r w:rsidR="00EC70EA">
        <w:t xml:space="preserve"> Editorial, </w:t>
      </w:r>
      <w:r w:rsidRPr="00EC70EA">
        <w:rPr>
          <w:i/>
        </w:rPr>
        <w:t>The Tech</w:t>
      </w:r>
      <w:r w:rsidR="00EC70EA">
        <w:t>, v. 86 n.</w:t>
      </w:r>
      <w:r>
        <w:t xml:space="preserve"> 10</w:t>
      </w:r>
      <w:r w:rsidR="00EC70EA">
        <w:t>, 11 March 1956, p. 4.</w:t>
      </w:r>
    </w:p>
  </w:footnote>
  <w:footnote w:id="21">
    <w:p w14:paraId="1C1A46ED" w14:textId="32A0DF48" w:rsidR="00D74652" w:rsidRDefault="00D74652">
      <w:pPr>
        <w:pStyle w:val="FootnoteText"/>
      </w:pPr>
      <w:r>
        <w:rPr>
          <w:rStyle w:val="FootnoteReference"/>
        </w:rPr>
        <w:footnoteRef/>
      </w:r>
      <w:r>
        <w:t xml:space="preserve"> Holden</w:t>
      </w:r>
      <w:r w:rsidR="00280481">
        <w:t>,</w:t>
      </w:r>
      <w:r w:rsidR="006B2804">
        <w:t xml:space="preserve"> </w:t>
      </w:r>
      <w:r w:rsidR="00280481">
        <w:t>Robert J,</w:t>
      </w:r>
      <w:r>
        <w:t xml:space="preserve"> Associate Director of Student Affairs</w:t>
      </w:r>
      <w:r w:rsidR="00280481">
        <w:t>, Letter, 5</w:t>
      </w:r>
      <w:r>
        <w:t xml:space="preserve"> April 1963</w:t>
      </w:r>
      <w:r w:rsidR="00280481">
        <w:t>.</w:t>
      </w:r>
      <w:r>
        <w:t xml:space="preserve"> Institute Archives AC 115 Box 9 folder “Student Center:</w:t>
      </w:r>
      <w:r w:rsidR="006B2804">
        <w:t xml:space="preserve"> </w:t>
      </w:r>
      <w:r>
        <w:t>Dining Services, 1967-1968”</w:t>
      </w:r>
    </w:p>
  </w:footnote>
  <w:footnote w:id="22">
    <w:p w14:paraId="371FC592" w14:textId="60A289C6" w:rsidR="00D74652" w:rsidRDefault="00D74652" w:rsidP="00D74652">
      <w:pPr>
        <w:pStyle w:val="FootnoteText"/>
      </w:pPr>
      <w:r>
        <w:rPr>
          <w:rStyle w:val="FootnoteReference"/>
        </w:rPr>
        <w:footnoteRef/>
      </w:r>
      <w:r w:rsidR="00131F5B">
        <w:t>“</w:t>
      </w:r>
      <w:r w:rsidR="00131F5B" w:rsidRPr="00131F5B">
        <w:t xml:space="preserve">1940- 1949: Measure </w:t>
      </w:r>
      <w:proofErr w:type="gramStart"/>
      <w:r w:rsidR="00131F5B" w:rsidRPr="00131F5B">
        <w:t>Of</w:t>
      </w:r>
      <w:proofErr w:type="gramEnd"/>
      <w:r w:rsidR="00131F5B" w:rsidRPr="00131F5B">
        <w:t xml:space="preserve"> Stature</w:t>
      </w:r>
      <w:r w:rsidR="00131F5B">
        <w:t xml:space="preserve">,” </w:t>
      </w:r>
      <w:r w:rsidRPr="00131F5B">
        <w:rPr>
          <w:i/>
        </w:rPr>
        <w:t>The Tech</w:t>
      </w:r>
      <w:r w:rsidR="00131F5B">
        <w:t>,</w:t>
      </w:r>
      <w:r w:rsidR="006B2804">
        <w:t xml:space="preserve"> </w:t>
      </w:r>
      <w:r w:rsidR="00131F5B">
        <w:t>v.</w:t>
      </w:r>
      <w:r>
        <w:t xml:space="preserve"> 76 </w:t>
      </w:r>
      <w:r w:rsidR="00131F5B">
        <w:t>v.</w:t>
      </w:r>
      <w:r>
        <w:t xml:space="preserve"> 52</w:t>
      </w:r>
      <w:r w:rsidR="00131F5B">
        <w:t>, 20 December 1956, p. 13.</w:t>
      </w:r>
    </w:p>
  </w:footnote>
  <w:footnote w:id="23">
    <w:p w14:paraId="58EB32DA" w14:textId="77777777" w:rsidR="009349EB" w:rsidRDefault="009349EB" w:rsidP="009349EB">
      <w:pPr>
        <w:pStyle w:val="FootnoteText"/>
      </w:pPr>
      <w:r>
        <w:rPr>
          <w:rStyle w:val="FootnoteReference"/>
        </w:rPr>
        <w:footnoteRef/>
      </w:r>
      <w:r>
        <w:t xml:space="preserve"> “Baker Diners Boycott Again Wednesday; EC Anti-Rent Boost Resolution Approved,” </w:t>
      </w:r>
      <w:r w:rsidRPr="00280481">
        <w:rPr>
          <w:i/>
        </w:rPr>
        <w:t>The Tech</w:t>
      </w:r>
      <w:r>
        <w:t>, v. 77 n. 8, 8 March 1957, p. 1.</w:t>
      </w:r>
    </w:p>
  </w:footnote>
  <w:footnote w:id="24">
    <w:p w14:paraId="520AB39B" w14:textId="77777777" w:rsidR="002931B0" w:rsidRDefault="002931B0" w:rsidP="002931B0">
      <w:pPr>
        <w:pStyle w:val="FootnoteText"/>
      </w:pPr>
      <w:r>
        <w:rPr>
          <w:rStyle w:val="FootnoteReference"/>
        </w:rPr>
        <w:footnoteRef/>
      </w:r>
      <w:r>
        <w:t xml:space="preserve"> “Ceremony marks SC Dedication,” </w:t>
      </w:r>
      <w:r w:rsidRPr="00EF7E19">
        <w:rPr>
          <w:i/>
        </w:rPr>
        <w:t>The Tech</w:t>
      </w:r>
      <w:r>
        <w:t xml:space="preserve"> v. 85 n. 18, 6 October 165, p. 1.</w:t>
      </w:r>
    </w:p>
  </w:footnote>
  <w:footnote w:id="25">
    <w:p w14:paraId="7F99160D" w14:textId="568C48BF" w:rsidR="002931B0" w:rsidRDefault="002931B0" w:rsidP="002931B0">
      <w:pPr>
        <w:pStyle w:val="FootnoteText"/>
      </w:pPr>
      <w:r>
        <w:rPr>
          <w:rStyle w:val="FootnoteReference"/>
        </w:rPr>
        <w:footnoteRef/>
      </w:r>
      <w:r>
        <w:t xml:space="preserve"> Holden, Robert. H, Letter, 10 Jan 1968.  Institute Archives AC 115 Box 9 folder “Student Center:</w:t>
      </w:r>
      <w:r w:rsidR="006B2804">
        <w:t xml:space="preserve"> </w:t>
      </w:r>
      <w:r>
        <w:t>Dining Services, 1967-1968”</w:t>
      </w:r>
    </w:p>
  </w:footnote>
  <w:footnote w:id="26">
    <w:p w14:paraId="2EEFDB46" w14:textId="77777777" w:rsidR="002931B0" w:rsidRDefault="002931B0" w:rsidP="002931B0">
      <w:pPr>
        <w:pStyle w:val="FootnoteText"/>
      </w:pPr>
      <w:r>
        <w:rPr>
          <w:rStyle w:val="FootnoteReference"/>
        </w:rPr>
        <w:footnoteRef/>
      </w:r>
      <w:proofErr w:type="spellStart"/>
      <w:r w:rsidRPr="00EF7E19">
        <w:t>Carhart</w:t>
      </w:r>
      <w:proofErr w:type="spellEnd"/>
      <w:r>
        <w:t>,</w:t>
      </w:r>
      <w:r w:rsidRPr="00EF7E19">
        <w:t xml:space="preserve"> Steve</w:t>
      </w:r>
      <w:r>
        <w:t>,“</w:t>
      </w:r>
      <w:proofErr w:type="spellStart"/>
      <w:r>
        <w:t>Grohier</w:t>
      </w:r>
      <w:proofErr w:type="spellEnd"/>
      <w:r>
        <w:t xml:space="preserve"> leaves dining staff as </w:t>
      </w:r>
      <w:proofErr w:type="spellStart"/>
      <w:r>
        <w:t>Lauricela</w:t>
      </w:r>
      <w:proofErr w:type="spellEnd"/>
      <w:r>
        <w:t xml:space="preserve"> takes helm in Student Center shakeup,” </w:t>
      </w:r>
      <w:r w:rsidRPr="00EF7E19">
        <w:rPr>
          <w:i/>
        </w:rPr>
        <w:t>The Tech</w:t>
      </w:r>
      <w:r>
        <w:t>, v. 87 n. 29, 19 September 1967, p. 1.</w:t>
      </w:r>
    </w:p>
  </w:footnote>
  <w:footnote w:id="27">
    <w:p w14:paraId="42BBCB4B" w14:textId="5ECF9CBA" w:rsidR="002931B0" w:rsidRDefault="002931B0" w:rsidP="002931B0">
      <w:pPr>
        <w:pStyle w:val="FootnoteText"/>
      </w:pPr>
      <w:r>
        <w:rPr>
          <w:rStyle w:val="FootnoteReference"/>
        </w:rPr>
        <w:footnoteRef/>
      </w:r>
      <w:proofErr w:type="spellStart"/>
      <w:r>
        <w:t>Cantley</w:t>
      </w:r>
      <w:proofErr w:type="spellEnd"/>
      <w:r>
        <w:t>, D. K., Letter.  Institute Archives AC 115 Box 9 folder “Student Center:</w:t>
      </w:r>
      <w:r w:rsidR="006B2804">
        <w:t xml:space="preserve"> </w:t>
      </w:r>
      <w:r>
        <w:t>Dining Services, 1967-1968”</w:t>
      </w:r>
    </w:p>
  </w:footnote>
  <w:footnote w:id="28">
    <w:p w14:paraId="3972E54C" w14:textId="77777777" w:rsidR="00FC5B00" w:rsidRDefault="00FC5B00">
      <w:pPr>
        <w:pStyle w:val="FootnoteText"/>
      </w:pPr>
      <w:r>
        <w:rPr>
          <w:rStyle w:val="FootnoteReference"/>
        </w:rPr>
        <w:footnoteRef/>
      </w:r>
      <w:r w:rsidR="00131F5B" w:rsidRPr="00EF7E19">
        <w:t>Evans</w:t>
      </w:r>
      <w:r w:rsidR="00131F5B">
        <w:t>, Jerry, “</w:t>
      </w:r>
      <w:r w:rsidR="00131F5B" w:rsidRPr="00EF7E19">
        <w:t xml:space="preserve">Commons: a </w:t>
      </w:r>
      <w:r w:rsidR="00131F5B">
        <w:t>t</w:t>
      </w:r>
      <w:r w:rsidR="00131F5B" w:rsidRPr="00EF7E19">
        <w:t xml:space="preserve">hirteen </w:t>
      </w:r>
      <w:r w:rsidR="00131F5B">
        <w:t xml:space="preserve">year perspective,” </w:t>
      </w:r>
      <w:r w:rsidR="00131F5B" w:rsidRPr="00EF7E19">
        <w:rPr>
          <w:i/>
        </w:rPr>
        <w:t>The Tech</w:t>
      </w:r>
      <w:r w:rsidR="00131F5B">
        <w:t xml:space="preserve"> v. 90 n. 45, 13 November 1970, p. 3.</w:t>
      </w:r>
    </w:p>
  </w:footnote>
  <w:footnote w:id="29">
    <w:p w14:paraId="07D3616A" w14:textId="77777777" w:rsidR="00685F37" w:rsidRDefault="00685F37">
      <w:pPr>
        <w:pStyle w:val="FootnoteText"/>
      </w:pPr>
      <w:r>
        <w:rPr>
          <w:rStyle w:val="FootnoteReference"/>
        </w:rPr>
        <w:footnoteRef/>
      </w:r>
      <w:r w:rsidR="00131F5B" w:rsidRPr="00131F5B">
        <w:t>Kauffman</w:t>
      </w:r>
      <w:r w:rsidR="00131F5B">
        <w:t xml:space="preserve">, </w:t>
      </w:r>
      <w:proofErr w:type="gramStart"/>
      <w:r w:rsidR="00131F5B" w:rsidRPr="00131F5B">
        <w:t xml:space="preserve">Storm </w:t>
      </w:r>
      <w:r w:rsidR="00131F5B">
        <w:t>,</w:t>
      </w:r>
      <w:proofErr w:type="gramEnd"/>
      <w:r w:rsidR="00131F5B">
        <w:t xml:space="preserve"> Editor-in-Chief, “Dining: why the </w:t>
      </w:r>
      <w:r w:rsidR="00131F5B" w:rsidRPr="00131F5B">
        <w:t>exorbitant</w:t>
      </w:r>
      <w:r w:rsidR="00131F5B">
        <w:t xml:space="preserve"> rates?,” </w:t>
      </w:r>
      <w:r w:rsidRPr="00131F5B">
        <w:rPr>
          <w:i/>
        </w:rPr>
        <w:t>The Tech</w:t>
      </w:r>
      <w:r w:rsidR="00131F5B">
        <w:t>,v.</w:t>
      </w:r>
      <w:r>
        <w:t xml:space="preserve">94 </w:t>
      </w:r>
      <w:r w:rsidR="00131F5B">
        <w:t>n.</w:t>
      </w:r>
      <w:r>
        <w:t xml:space="preserve"> 26</w:t>
      </w:r>
      <w:r w:rsidR="00131F5B">
        <w:t>, 17 May 1974, p. 4.</w:t>
      </w:r>
    </w:p>
  </w:footnote>
  <w:footnote w:id="30">
    <w:p w14:paraId="534CD9F3" w14:textId="77777777" w:rsidR="001845A3" w:rsidRDefault="001845A3">
      <w:pPr>
        <w:pStyle w:val="FootnoteText"/>
      </w:pPr>
      <w:r>
        <w:rPr>
          <w:rStyle w:val="FootnoteReference"/>
        </w:rPr>
        <w:footnoteRef/>
      </w:r>
      <w:r w:rsidR="00131F5B">
        <w:t xml:space="preserve">Baker, </w:t>
      </w:r>
      <w:proofErr w:type="spellStart"/>
      <w:r w:rsidR="00131F5B">
        <w:t>Harvy</w:t>
      </w:r>
      <w:proofErr w:type="spellEnd"/>
      <w:r w:rsidR="00131F5B">
        <w:t>, “</w:t>
      </w:r>
      <w:r w:rsidR="00131F5B" w:rsidRPr="00131F5B">
        <w:t>Housing fees to increase</w:t>
      </w:r>
      <w:r w:rsidR="00131F5B">
        <w:t xml:space="preserve">,” </w:t>
      </w:r>
      <w:r w:rsidRPr="00131F5B">
        <w:rPr>
          <w:i/>
        </w:rPr>
        <w:t xml:space="preserve">The </w:t>
      </w:r>
      <w:proofErr w:type="spellStart"/>
      <w:r w:rsidRPr="00131F5B">
        <w:rPr>
          <w:i/>
        </w:rPr>
        <w:t>Tech</w:t>
      </w:r>
      <w:proofErr w:type="gramStart"/>
      <w:r w:rsidR="00131F5B">
        <w:t>,v</w:t>
      </w:r>
      <w:proofErr w:type="spellEnd"/>
      <w:proofErr w:type="gramEnd"/>
      <w:r w:rsidR="00131F5B">
        <w:t>.</w:t>
      </w:r>
      <w:r>
        <w:t xml:space="preserve"> 91 </w:t>
      </w:r>
      <w:r w:rsidR="00131F5B">
        <w:t>n.</w:t>
      </w:r>
      <w:r>
        <w:t xml:space="preserve"> 1</w:t>
      </w:r>
      <w:r w:rsidR="00131F5B">
        <w:t>, 5 February 1971, p. 1.</w:t>
      </w:r>
    </w:p>
  </w:footnote>
  <w:footnote w:id="31">
    <w:p w14:paraId="46523331" w14:textId="77777777" w:rsidR="009F6A1D" w:rsidRDefault="009F6A1D" w:rsidP="009F6A1D">
      <w:pPr>
        <w:pStyle w:val="FootnoteText"/>
      </w:pPr>
      <w:r>
        <w:rPr>
          <w:rStyle w:val="FootnoteReference"/>
        </w:rPr>
        <w:footnoteRef/>
      </w:r>
      <w:proofErr w:type="gramStart"/>
      <w:r>
        <w:t>Draft 2 of 1980 Committee on Dining Report.</w:t>
      </w:r>
      <w:proofErr w:type="gramEnd"/>
      <w:r>
        <w:t xml:space="preserve"> Institute Archives AC 19 Box 8</w:t>
      </w:r>
    </w:p>
  </w:footnote>
  <w:footnote w:id="32">
    <w:p w14:paraId="5A82B890" w14:textId="77777777" w:rsidR="00291B4B" w:rsidRDefault="00291B4B" w:rsidP="00291B4B">
      <w:pPr>
        <w:pStyle w:val="FootnoteText"/>
      </w:pPr>
      <w:r>
        <w:rPr>
          <w:rStyle w:val="FootnoteReference"/>
        </w:rPr>
        <w:footnoteRef/>
      </w:r>
      <w:proofErr w:type="gramStart"/>
      <w:r>
        <w:t>1980 Committee on Dining Report</w:t>
      </w:r>
      <w:r w:rsidR="00131F5B">
        <w:t>.</w:t>
      </w:r>
      <w:proofErr w:type="gramEnd"/>
      <w:r>
        <w:t xml:space="preserve"> Institute Archives AC 19 Box 8</w:t>
      </w:r>
      <w:r w:rsidR="00131F5B">
        <w:t>.</w:t>
      </w:r>
    </w:p>
  </w:footnote>
  <w:footnote w:id="33">
    <w:p w14:paraId="63EF5D61" w14:textId="77777777" w:rsidR="00291B4B" w:rsidRDefault="00291B4B">
      <w:pPr>
        <w:pStyle w:val="FootnoteText"/>
      </w:pPr>
      <w:r>
        <w:rPr>
          <w:rStyle w:val="FootnoteReference"/>
        </w:rPr>
        <w:footnoteRef/>
      </w:r>
      <w:proofErr w:type="spellStart"/>
      <w:r w:rsidR="00131F5B">
        <w:t>Salz</w:t>
      </w:r>
      <w:proofErr w:type="spellEnd"/>
      <w:r w:rsidR="00131F5B">
        <w:t>, Richard. “</w:t>
      </w:r>
      <w:r w:rsidR="00131F5B" w:rsidRPr="00131F5B">
        <w:t xml:space="preserve">Dining committee favors forced </w:t>
      </w:r>
      <w:proofErr w:type="spellStart"/>
      <w:r w:rsidR="00131F5B" w:rsidRPr="00131F5B">
        <w:t>commons</w:t>
      </w:r>
      <w:proofErr w:type="gramStart"/>
      <w:r w:rsidR="00131F5B">
        <w:t>,“</w:t>
      </w:r>
      <w:proofErr w:type="gramEnd"/>
      <w:r w:rsidRPr="00131F5B">
        <w:rPr>
          <w:i/>
        </w:rPr>
        <w:t>The</w:t>
      </w:r>
      <w:proofErr w:type="spellEnd"/>
      <w:r w:rsidRPr="00131F5B">
        <w:rPr>
          <w:i/>
        </w:rPr>
        <w:t xml:space="preserve"> Tech</w:t>
      </w:r>
      <w:r w:rsidR="00131F5B">
        <w:t xml:space="preserve"> v. 99 n.</w:t>
      </w:r>
      <w:r>
        <w:t xml:space="preserve"> 25</w:t>
      </w:r>
      <w:r w:rsidR="00131F5B">
        <w:t>, 15 May 1979, p. 1.</w:t>
      </w:r>
    </w:p>
  </w:footnote>
  <w:footnote w:id="34">
    <w:p w14:paraId="70DE2FBF" w14:textId="77777777" w:rsidR="00B64E16" w:rsidRDefault="00B64E16">
      <w:pPr>
        <w:pStyle w:val="FootnoteText"/>
      </w:pPr>
      <w:r>
        <w:rPr>
          <w:rStyle w:val="FootnoteReference"/>
        </w:rPr>
        <w:footnoteRef/>
      </w:r>
      <w:r>
        <w:t xml:space="preserve"> MIT Food Service Guide 1982-1983</w:t>
      </w:r>
      <w:r w:rsidR="00BE5859">
        <w:t xml:space="preserve">.  </w:t>
      </w:r>
      <w:proofErr w:type="gramStart"/>
      <w:r w:rsidR="00BE5859">
        <w:t>Baker House Exec-Con Archives.</w:t>
      </w:r>
      <w:proofErr w:type="gramEnd"/>
    </w:p>
  </w:footnote>
  <w:footnote w:id="35">
    <w:p w14:paraId="16DAA69A" w14:textId="77777777" w:rsidR="006D2A16" w:rsidRDefault="006D2A16">
      <w:pPr>
        <w:pStyle w:val="FootnoteText"/>
      </w:pPr>
      <w:r>
        <w:rPr>
          <w:rStyle w:val="FootnoteReference"/>
        </w:rPr>
        <w:footnoteRef/>
      </w:r>
      <w:proofErr w:type="gramStart"/>
      <w:r w:rsidR="00BE5859">
        <w:t>Dining p</w:t>
      </w:r>
      <w:r>
        <w:t>lan marketing materials</w:t>
      </w:r>
      <w:r w:rsidR="00BE5859">
        <w:t>.</w:t>
      </w:r>
      <w:proofErr w:type="gramEnd"/>
      <w:r>
        <w:t xml:space="preserve"> Institute Archives AC 19 Box 8</w:t>
      </w:r>
      <w:r w:rsidR="00BE5859">
        <w:t>.</w:t>
      </w:r>
    </w:p>
  </w:footnote>
  <w:footnote w:id="36">
    <w:p w14:paraId="5D36314B" w14:textId="77777777" w:rsidR="004E5678" w:rsidRPr="004E5678" w:rsidRDefault="004E5678">
      <w:pPr>
        <w:pStyle w:val="FootnoteText"/>
      </w:pPr>
      <w:r>
        <w:rPr>
          <w:rStyle w:val="FootnoteReference"/>
        </w:rPr>
        <w:footnoteRef/>
      </w:r>
      <w:proofErr w:type="spellStart"/>
      <w:r>
        <w:t>Moschetti</w:t>
      </w:r>
      <w:proofErr w:type="spellEnd"/>
      <w:r>
        <w:t xml:space="preserve">, Buzz. </w:t>
      </w:r>
      <w:proofErr w:type="gramStart"/>
      <w:r>
        <w:t xml:space="preserve">“EC, Senior House kitchens started,” </w:t>
      </w:r>
      <w:r>
        <w:rPr>
          <w:i/>
        </w:rPr>
        <w:t>The Tech</w:t>
      </w:r>
      <w:r>
        <w:t>, v. 102 n. 60, 21 January 2983, p. 1 and 2.</w:t>
      </w:r>
      <w:proofErr w:type="gramEnd"/>
    </w:p>
  </w:footnote>
  <w:footnote w:id="37">
    <w:p w14:paraId="030DF1CD" w14:textId="77777777" w:rsidR="004E5678" w:rsidRDefault="004E5678">
      <w:pPr>
        <w:pStyle w:val="FootnoteText"/>
      </w:pPr>
      <w:r>
        <w:rPr>
          <w:rStyle w:val="FootnoteReference"/>
        </w:rPr>
        <w:footnoteRef/>
      </w:r>
      <w:r>
        <w:t xml:space="preserve"> MIT Dining Guide 1984-1985 </w:t>
      </w:r>
      <w:r w:rsidRPr="004E5678">
        <w:t>http://studentlife.mit.edu/sites/default/files/Dining%201984-85.PDF</w:t>
      </w:r>
    </w:p>
  </w:footnote>
  <w:footnote w:id="38">
    <w:p w14:paraId="4901F9FF" w14:textId="77777777" w:rsidR="00B64E16" w:rsidRDefault="00B64E16" w:rsidP="00067CAA">
      <w:pPr>
        <w:pStyle w:val="FootnoteText"/>
      </w:pPr>
      <w:r>
        <w:rPr>
          <w:rStyle w:val="FootnoteReference"/>
        </w:rPr>
        <w:footnoteRef/>
      </w:r>
      <w:proofErr w:type="spellStart"/>
      <w:r w:rsidR="00A31BA9">
        <w:t>Hou</w:t>
      </w:r>
      <w:proofErr w:type="spellEnd"/>
      <w:r w:rsidR="00A31BA9">
        <w:t xml:space="preserve">, Brian.  </w:t>
      </w:r>
      <w:proofErr w:type="gramStart"/>
      <w:r w:rsidR="00A31BA9">
        <w:t>“</w:t>
      </w:r>
      <w:proofErr w:type="spellStart"/>
      <w:r w:rsidR="00A31BA9">
        <w:t>MacGreggor</w:t>
      </w:r>
      <w:proofErr w:type="spellEnd"/>
      <w:r w:rsidR="00A31BA9">
        <w:t xml:space="preserve"> students want a la carte,” </w:t>
      </w:r>
      <w:r w:rsidRPr="00A31BA9">
        <w:rPr>
          <w:i/>
        </w:rPr>
        <w:t>The Tech</w:t>
      </w:r>
      <w:r w:rsidR="00A31BA9">
        <w:t>, v. 104 n.</w:t>
      </w:r>
      <w:r>
        <w:t xml:space="preserve"> 59</w:t>
      </w:r>
      <w:r w:rsidR="00A31BA9">
        <w:t>, 11 December 1984, p. 1.</w:t>
      </w:r>
      <w:proofErr w:type="gramEnd"/>
    </w:p>
  </w:footnote>
  <w:footnote w:id="39">
    <w:p w14:paraId="6BE09223" w14:textId="77777777" w:rsidR="00B64E16" w:rsidRDefault="00B64E16">
      <w:pPr>
        <w:pStyle w:val="FootnoteText"/>
      </w:pPr>
      <w:r>
        <w:rPr>
          <w:rStyle w:val="FootnoteReference"/>
        </w:rPr>
        <w:footnoteRef/>
      </w:r>
      <w:proofErr w:type="spellStart"/>
      <w:proofErr w:type="gramStart"/>
      <w:r w:rsidR="00A31BA9">
        <w:t>Cantillo</w:t>
      </w:r>
      <w:proofErr w:type="spellEnd"/>
      <w:r w:rsidR="00A31BA9">
        <w:t xml:space="preserve">, Miguel, “MIT likely to renew ARA,” </w:t>
      </w:r>
      <w:r w:rsidRPr="00A31BA9">
        <w:rPr>
          <w:i/>
        </w:rPr>
        <w:t>The Tech</w:t>
      </w:r>
      <w:r w:rsidR="00A31BA9">
        <w:t>, v. 110 n.</w:t>
      </w:r>
      <w:r>
        <w:t xml:space="preserve"> 9</w:t>
      </w:r>
      <w:r w:rsidR="00A31BA9">
        <w:t>, 2 March 1990, p. 1.</w:t>
      </w:r>
      <w:proofErr w:type="gramEnd"/>
    </w:p>
  </w:footnote>
  <w:footnote w:id="40">
    <w:p w14:paraId="21534C24" w14:textId="77777777" w:rsidR="00B64E16" w:rsidRDefault="00B64E16" w:rsidP="00DF58B0">
      <w:pPr>
        <w:pStyle w:val="FootnoteText"/>
      </w:pPr>
      <w:r>
        <w:rPr>
          <w:rStyle w:val="FootnoteReference"/>
        </w:rPr>
        <w:footnoteRef/>
      </w:r>
      <w:proofErr w:type="gramStart"/>
      <w:r w:rsidR="00A31BA9">
        <w:t xml:space="preserve">Kim, Hyun </w:t>
      </w:r>
      <w:proofErr w:type="spellStart"/>
      <w:r w:rsidR="00A31BA9">
        <w:t>Soo</w:t>
      </w:r>
      <w:proofErr w:type="spellEnd"/>
      <w:r w:rsidR="00A31BA9">
        <w:t>, “</w:t>
      </w:r>
      <w:r w:rsidR="00A31BA9" w:rsidRPr="00A31BA9">
        <w:t>New Proposal Closes Dorm Dining Halls</w:t>
      </w:r>
      <w:r w:rsidR="00A31BA9">
        <w:t xml:space="preserve">,” </w:t>
      </w:r>
      <w:r w:rsidRPr="00A31BA9">
        <w:rPr>
          <w:i/>
        </w:rPr>
        <w:t>The Tech</w:t>
      </w:r>
      <w:r w:rsidR="00A31BA9">
        <w:t>, v.</w:t>
      </w:r>
      <w:r>
        <w:t xml:space="preserve"> 113 </w:t>
      </w:r>
      <w:r w:rsidR="00A31BA9">
        <w:t>n.</w:t>
      </w:r>
      <w:r>
        <w:t xml:space="preserve"> 7</w:t>
      </w:r>
      <w:r w:rsidR="00A31BA9">
        <w:t>, 19 February 1993, p. 1.</w:t>
      </w:r>
      <w:proofErr w:type="gramEnd"/>
    </w:p>
  </w:footnote>
  <w:footnote w:id="41">
    <w:p w14:paraId="139CCBA3" w14:textId="77777777" w:rsidR="00D61E7B" w:rsidRDefault="00D61E7B" w:rsidP="00D61E7B">
      <w:pPr>
        <w:pStyle w:val="FootnoteText"/>
      </w:pPr>
      <w:r>
        <w:rPr>
          <w:rStyle w:val="FootnoteReference"/>
        </w:rPr>
        <w:footnoteRef/>
      </w:r>
      <w:proofErr w:type="gramStart"/>
      <w:r>
        <w:t>Stanger, Ben Z., “</w:t>
      </w:r>
      <w:r w:rsidRPr="00A31BA9">
        <w:t>ARA takes over food service</w:t>
      </w:r>
      <w:r>
        <w:t xml:space="preserve">,” </w:t>
      </w:r>
      <w:r w:rsidRPr="00A31BA9">
        <w:rPr>
          <w:i/>
        </w:rPr>
        <w:t>The Tech</w:t>
      </w:r>
      <w:r>
        <w:t>, v. 106 n. 29, 15 July 1986, p. 1.</w:t>
      </w:r>
      <w:proofErr w:type="gramEnd"/>
    </w:p>
  </w:footnote>
  <w:footnote w:id="42">
    <w:p w14:paraId="013CD56E" w14:textId="77777777" w:rsidR="00B64E16" w:rsidRDefault="00B64E16">
      <w:pPr>
        <w:pStyle w:val="FootnoteText"/>
      </w:pPr>
      <w:r>
        <w:rPr>
          <w:rStyle w:val="FootnoteReference"/>
        </w:rPr>
        <w:footnoteRef/>
      </w:r>
      <w:r w:rsidR="00A31BA9" w:rsidRPr="00A31BA9">
        <w:t>Hyland</w:t>
      </w:r>
      <w:r w:rsidR="00A31BA9">
        <w:t>,</w:t>
      </w:r>
      <w:r w:rsidR="00A31BA9" w:rsidRPr="00A31BA9">
        <w:t xml:space="preserve"> Timothy W.  '88</w:t>
      </w:r>
      <w:r w:rsidR="00A31BA9">
        <w:t>, “ARA</w:t>
      </w:r>
      <w:r w:rsidR="00A31BA9" w:rsidRPr="00A31BA9">
        <w:t xml:space="preserve"> management is flawed</w:t>
      </w:r>
      <w:r w:rsidR="00A31BA9">
        <w:t xml:space="preserve">,” Letter to the </w:t>
      </w:r>
      <w:proofErr w:type="spellStart"/>
      <w:r w:rsidR="00A31BA9">
        <w:t>Editor,</w:t>
      </w:r>
      <w:r w:rsidRPr="00A31BA9">
        <w:rPr>
          <w:i/>
        </w:rPr>
        <w:t>The</w:t>
      </w:r>
      <w:proofErr w:type="spellEnd"/>
      <w:r w:rsidRPr="00A31BA9">
        <w:rPr>
          <w:i/>
        </w:rPr>
        <w:t xml:space="preserve"> Tech</w:t>
      </w:r>
      <w:r w:rsidR="00A31BA9">
        <w:t>,v.</w:t>
      </w:r>
      <w:r>
        <w:t xml:space="preserve">107 </w:t>
      </w:r>
      <w:r w:rsidR="00A31BA9">
        <w:t xml:space="preserve">n. </w:t>
      </w:r>
      <w:r>
        <w:t>24</w:t>
      </w:r>
      <w:r w:rsidR="00A31BA9">
        <w:t>, 8 May 1987, p. 4 and 7.</w:t>
      </w:r>
    </w:p>
  </w:footnote>
  <w:footnote w:id="43">
    <w:p w14:paraId="15D48CB1" w14:textId="77777777" w:rsidR="00B64E16" w:rsidRDefault="00B64E16">
      <w:pPr>
        <w:pStyle w:val="FootnoteText"/>
      </w:pPr>
      <w:r>
        <w:rPr>
          <w:rStyle w:val="FootnoteReference"/>
        </w:rPr>
        <w:footnoteRef/>
      </w:r>
      <w:r w:rsidR="00A31BA9">
        <w:t>Gordon, Seth, “</w:t>
      </w:r>
      <w:proofErr w:type="spellStart"/>
      <w:r w:rsidR="00A31BA9">
        <w:t>Lobdell</w:t>
      </w:r>
      <w:proofErr w:type="spellEnd"/>
      <w:r w:rsidR="00A31BA9">
        <w:t xml:space="preserve"> food court to open T</w:t>
      </w:r>
      <w:r w:rsidR="00A31BA9" w:rsidRPr="00A31BA9">
        <w:t>hursday</w:t>
      </w:r>
      <w:r w:rsidR="00A31BA9">
        <w:t xml:space="preserve">,” </w:t>
      </w:r>
      <w:r w:rsidRPr="00A31BA9">
        <w:rPr>
          <w:i/>
        </w:rPr>
        <w:t>The Tech</w:t>
      </w:r>
      <w:proofErr w:type="gramStart"/>
      <w:r w:rsidR="00A31BA9">
        <w:t>,v.</w:t>
      </w:r>
      <w:r>
        <w:t>108</w:t>
      </w:r>
      <w:proofErr w:type="gramEnd"/>
      <w:r>
        <w:t xml:space="preserve"> </w:t>
      </w:r>
      <w:r w:rsidR="00A31BA9">
        <w:t xml:space="preserve">n. </w:t>
      </w:r>
      <w:r>
        <w:t>34</w:t>
      </w:r>
      <w:r w:rsidR="00A31BA9">
        <w:t>, 20 September 1988, p. 1.</w:t>
      </w:r>
    </w:p>
  </w:footnote>
  <w:footnote w:id="44">
    <w:p w14:paraId="162630D4" w14:textId="3B1BE591" w:rsidR="00B64E16" w:rsidRDefault="00B64E16">
      <w:pPr>
        <w:pStyle w:val="FootnoteText"/>
      </w:pPr>
      <w:r>
        <w:rPr>
          <w:rStyle w:val="FootnoteReference"/>
        </w:rPr>
        <w:footnoteRef/>
      </w:r>
      <w:proofErr w:type="spellStart"/>
      <w:r w:rsidR="00050DBC">
        <w:t>Rao</w:t>
      </w:r>
      <w:proofErr w:type="spellEnd"/>
      <w:r w:rsidR="00050DBC">
        <w:t xml:space="preserve">, </w:t>
      </w:r>
      <w:proofErr w:type="spellStart"/>
      <w:r w:rsidR="00050DBC" w:rsidRPr="00050DBC">
        <w:t>Lakshmana</w:t>
      </w:r>
      <w:proofErr w:type="spellEnd"/>
      <w:r w:rsidR="00050DBC">
        <w:t xml:space="preserve">, “ARA changes on the way,” </w:t>
      </w:r>
      <w:r w:rsidRPr="00050DBC">
        <w:rPr>
          <w:i/>
        </w:rPr>
        <w:t xml:space="preserve">The </w:t>
      </w:r>
      <w:proofErr w:type="gramStart"/>
      <w:r w:rsidRPr="00050DBC">
        <w:rPr>
          <w:i/>
        </w:rPr>
        <w:t>Tech</w:t>
      </w:r>
      <w:r w:rsidR="006B2804">
        <w:rPr>
          <w:i/>
        </w:rPr>
        <w:t xml:space="preserve"> </w:t>
      </w:r>
      <w:r w:rsidR="00050DBC">
        <w:t>,v</w:t>
      </w:r>
      <w:proofErr w:type="gramEnd"/>
      <w:r w:rsidR="00050DBC">
        <w:t>.</w:t>
      </w:r>
      <w:r>
        <w:t xml:space="preserve"> 111 </w:t>
      </w:r>
      <w:r w:rsidR="00050DBC">
        <w:t xml:space="preserve">n. </w:t>
      </w:r>
      <w:r>
        <w:t>34</w:t>
      </w:r>
      <w:r w:rsidR="00050DBC">
        <w:t>, 13 September 1991, p. 1.</w:t>
      </w:r>
    </w:p>
  </w:footnote>
  <w:footnote w:id="45">
    <w:p w14:paraId="522C01C7" w14:textId="77777777" w:rsidR="00B64E16" w:rsidRDefault="00B64E16">
      <w:pPr>
        <w:pStyle w:val="FootnoteText"/>
      </w:pPr>
      <w:r>
        <w:rPr>
          <w:rStyle w:val="FootnoteReference"/>
        </w:rPr>
        <w:footnoteRef/>
      </w:r>
      <w:r w:rsidR="00050DBC">
        <w:t xml:space="preserve">Jackson, Bill, “ARA wins contract, will take losses,” </w:t>
      </w:r>
      <w:r w:rsidRPr="00050DBC">
        <w:rPr>
          <w:i/>
        </w:rPr>
        <w:t>The Tech</w:t>
      </w:r>
      <w:r w:rsidR="00050DBC">
        <w:t>, v.</w:t>
      </w:r>
      <w:r>
        <w:t xml:space="preserve"> 111 </w:t>
      </w:r>
      <w:r w:rsidR="00050DBC">
        <w:t xml:space="preserve">n. </w:t>
      </w:r>
      <w:r>
        <w:t>27</w:t>
      </w:r>
      <w:r w:rsidR="00050DBC">
        <w:t>, 3 June 1991, p. 1 and 28.</w:t>
      </w:r>
    </w:p>
  </w:footnote>
  <w:footnote w:id="46">
    <w:p w14:paraId="7D4D1FCB" w14:textId="77777777" w:rsidR="000F066A" w:rsidRDefault="000F066A" w:rsidP="000F066A">
      <w:pPr>
        <w:pStyle w:val="FootnoteText"/>
      </w:pPr>
      <w:r>
        <w:rPr>
          <w:rStyle w:val="FootnoteReference"/>
        </w:rPr>
        <w:footnoteRef/>
      </w:r>
      <w:proofErr w:type="spellStart"/>
      <w:proofErr w:type="gramStart"/>
      <w:r w:rsidR="00050DBC">
        <w:t>Cantillo</w:t>
      </w:r>
      <w:proofErr w:type="spellEnd"/>
      <w:r w:rsidR="00050DBC">
        <w:t xml:space="preserve">, Miguel, “MIT likely to renew ARA,” </w:t>
      </w:r>
      <w:r w:rsidR="00050DBC" w:rsidRPr="00A31BA9">
        <w:rPr>
          <w:i/>
        </w:rPr>
        <w:t>The Tech</w:t>
      </w:r>
      <w:r w:rsidR="00050DBC">
        <w:t>, v. 110 n. 9, 2 March 1990, p. 1.</w:t>
      </w:r>
      <w:proofErr w:type="gramEnd"/>
    </w:p>
  </w:footnote>
  <w:footnote w:id="47">
    <w:p w14:paraId="12C9B7DE" w14:textId="77777777" w:rsidR="000F066A" w:rsidRDefault="000F066A" w:rsidP="000F066A">
      <w:pPr>
        <w:pStyle w:val="FootnoteText"/>
      </w:pPr>
      <w:r>
        <w:rPr>
          <w:rStyle w:val="FootnoteReference"/>
        </w:rPr>
        <w:footnoteRef/>
      </w:r>
      <w:r w:rsidR="00050DBC">
        <w:t xml:space="preserve">Jackson, Bill, “ARA wins contract, will take losses,” </w:t>
      </w:r>
      <w:r w:rsidR="00050DBC" w:rsidRPr="00050DBC">
        <w:rPr>
          <w:i/>
        </w:rPr>
        <w:t>The Tech</w:t>
      </w:r>
      <w:r w:rsidR="00050DBC">
        <w:t>, v. 111 n. 27, 3 June 1991, p. 1 and 28.</w:t>
      </w:r>
    </w:p>
  </w:footnote>
  <w:footnote w:id="48">
    <w:p w14:paraId="5F9F82B5" w14:textId="3842CAE9" w:rsidR="00B64E16" w:rsidRDefault="00B64E16">
      <w:pPr>
        <w:pStyle w:val="FootnoteText"/>
      </w:pPr>
      <w:r>
        <w:rPr>
          <w:rStyle w:val="FootnoteReference"/>
        </w:rPr>
        <w:footnoteRef/>
      </w:r>
      <w:proofErr w:type="gramStart"/>
      <w:r w:rsidR="00050DBC">
        <w:t xml:space="preserve">Kaplan, Karen, “Dorms may pay fee for Cafeterias,” </w:t>
      </w:r>
      <w:r w:rsidRPr="00050DBC">
        <w:rPr>
          <w:i/>
        </w:rPr>
        <w:t>The Tech</w:t>
      </w:r>
      <w:r w:rsidR="006B2804" w:rsidRPr="006B2804">
        <w:t>,</w:t>
      </w:r>
      <w:r w:rsidR="006B2804">
        <w:rPr>
          <w:i/>
        </w:rPr>
        <w:t xml:space="preserve"> </w:t>
      </w:r>
      <w:r w:rsidR="00050DBC">
        <w:t>v.</w:t>
      </w:r>
      <w:r>
        <w:t xml:space="preserve"> 112 </w:t>
      </w:r>
      <w:r w:rsidR="00050DBC">
        <w:t xml:space="preserve">n. </w:t>
      </w:r>
      <w:r>
        <w:t>18</w:t>
      </w:r>
      <w:r w:rsidR="00050DBC">
        <w:t>, 7 April, 1992, p. 1.</w:t>
      </w:r>
      <w:proofErr w:type="gramEnd"/>
    </w:p>
  </w:footnote>
  <w:footnote w:id="49">
    <w:p w14:paraId="05664967" w14:textId="77777777" w:rsidR="00B64E16" w:rsidRDefault="00B64E16" w:rsidP="00050DBC">
      <w:pPr>
        <w:pStyle w:val="FootnoteText"/>
      </w:pPr>
      <w:r>
        <w:rPr>
          <w:rStyle w:val="FootnoteReference"/>
        </w:rPr>
        <w:footnoteRef/>
      </w:r>
      <w:r w:rsidR="00050DBC">
        <w:t xml:space="preserve">Lerner, </w:t>
      </w:r>
      <w:proofErr w:type="spellStart"/>
      <w:r w:rsidR="00050DBC">
        <w:t>Reuven</w:t>
      </w:r>
      <w:proofErr w:type="spellEnd"/>
      <w:r w:rsidR="00050DBC">
        <w:t xml:space="preserve"> M., “Proposed Fee Would Offset Dormitory Dining Deficits,” </w:t>
      </w:r>
      <w:r w:rsidRPr="00050DBC">
        <w:rPr>
          <w:i/>
        </w:rPr>
        <w:t xml:space="preserve">The </w:t>
      </w:r>
      <w:proofErr w:type="spellStart"/>
      <w:r w:rsidRPr="00050DBC">
        <w:rPr>
          <w:i/>
        </w:rPr>
        <w:t>Tech</w:t>
      </w:r>
      <w:proofErr w:type="gramStart"/>
      <w:r w:rsidR="00050DBC" w:rsidRPr="00050DBC">
        <w:t>,</w:t>
      </w:r>
      <w:r w:rsidR="00050DBC">
        <w:t>v</w:t>
      </w:r>
      <w:proofErr w:type="spellEnd"/>
      <w:proofErr w:type="gramEnd"/>
      <w:r w:rsidR="00050DBC">
        <w:t>.</w:t>
      </w:r>
      <w:r>
        <w:t xml:space="preserve"> 112 </w:t>
      </w:r>
      <w:r w:rsidR="00050DBC">
        <w:t>n.</w:t>
      </w:r>
      <w:r>
        <w:t xml:space="preserve"> 19</w:t>
      </w:r>
      <w:r w:rsidR="00050DBC">
        <w:t>, 10 April 1992, p. 1.</w:t>
      </w:r>
    </w:p>
  </w:footnote>
  <w:footnote w:id="50">
    <w:p w14:paraId="401A9A42" w14:textId="77777777" w:rsidR="00B64E16" w:rsidRDefault="00B64E16">
      <w:pPr>
        <w:pStyle w:val="FootnoteText"/>
      </w:pPr>
      <w:r>
        <w:rPr>
          <w:rStyle w:val="FootnoteReference"/>
        </w:rPr>
        <w:footnoteRef/>
      </w:r>
      <w:r w:rsidR="00050DBC">
        <w:t xml:space="preserve">Lerner, </w:t>
      </w:r>
      <w:proofErr w:type="spellStart"/>
      <w:r w:rsidR="00050DBC">
        <w:t>Reuven</w:t>
      </w:r>
      <w:proofErr w:type="spellEnd"/>
      <w:r w:rsidR="00050DBC">
        <w:t xml:space="preserve"> M., “Proposed Fee Would Offset Dormitory Dining Deficits,” </w:t>
      </w:r>
      <w:r w:rsidR="00050DBC" w:rsidRPr="00050DBC">
        <w:rPr>
          <w:i/>
        </w:rPr>
        <w:t>The Tech</w:t>
      </w:r>
      <w:r w:rsidR="00050DBC" w:rsidRPr="00050DBC">
        <w:t>,</w:t>
      </w:r>
      <w:r w:rsidR="00050DBC">
        <w:t xml:space="preserve"> v. 112 n. 19, 10 April 1992, p. 1.</w:t>
      </w:r>
    </w:p>
  </w:footnote>
  <w:footnote w:id="51">
    <w:p w14:paraId="579CA566" w14:textId="77777777" w:rsidR="00B64E16" w:rsidRDefault="00B64E16">
      <w:pPr>
        <w:pStyle w:val="FootnoteText"/>
      </w:pPr>
      <w:r>
        <w:rPr>
          <w:rStyle w:val="FootnoteReference"/>
        </w:rPr>
        <w:footnoteRef/>
      </w:r>
      <w:r w:rsidR="00050DBC">
        <w:t xml:space="preserve">Kim, Hyun </w:t>
      </w:r>
      <w:proofErr w:type="spellStart"/>
      <w:r w:rsidR="00050DBC">
        <w:t>Soo</w:t>
      </w:r>
      <w:proofErr w:type="spellEnd"/>
      <w:r w:rsidR="00050DBC">
        <w:t>, “</w:t>
      </w:r>
      <w:r w:rsidR="00050DBC" w:rsidRPr="00050DBC">
        <w:t xml:space="preserve">Two Dorm </w:t>
      </w:r>
      <w:r w:rsidR="00050DBC">
        <w:t>Dining</w:t>
      </w:r>
      <w:r w:rsidR="00050DBC" w:rsidRPr="00050DBC">
        <w:t xml:space="preserve"> Halls to Stay Open</w:t>
      </w:r>
      <w:r w:rsidR="00050DBC">
        <w:t xml:space="preserve">,” </w:t>
      </w:r>
      <w:r w:rsidR="00050DBC" w:rsidRPr="00A31BA9">
        <w:rPr>
          <w:i/>
        </w:rPr>
        <w:t>The Tech</w:t>
      </w:r>
      <w:r w:rsidR="00050DBC">
        <w:t>, v. 113 n. 15, 19 March 1993, p. 1.</w:t>
      </w:r>
    </w:p>
  </w:footnote>
  <w:footnote w:id="52">
    <w:p w14:paraId="2F822893" w14:textId="77777777" w:rsidR="00B64E16" w:rsidRDefault="00B64E16">
      <w:pPr>
        <w:pStyle w:val="FootnoteText"/>
      </w:pPr>
      <w:r>
        <w:rPr>
          <w:rStyle w:val="FootnoteReference"/>
        </w:rPr>
        <w:footnoteRef/>
      </w:r>
      <w:r w:rsidR="00050DBC">
        <w:t xml:space="preserve">Kim, Hyun </w:t>
      </w:r>
      <w:proofErr w:type="spellStart"/>
      <w:r w:rsidR="00050DBC">
        <w:t>Soo</w:t>
      </w:r>
      <w:proofErr w:type="spellEnd"/>
      <w:r w:rsidR="00050DBC">
        <w:t>, “</w:t>
      </w:r>
      <w:r w:rsidR="00050DBC" w:rsidRPr="00050DBC">
        <w:t xml:space="preserve">Two Dorm </w:t>
      </w:r>
      <w:r w:rsidR="00050DBC">
        <w:t>Dining</w:t>
      </w:r>
      <w:r w:rsidR="00050DBC" w:rsidRPr="00050DBC">
        <w:t xml:space="preserve"> Halls to Stay Open</w:t>
      </w:r>
      <w:r w:rsidR="00050DBC">
        <w:t xml:space="preserve">,” </w:t>
      </w:r>
      <w:r w:rsidR="00050DBC" w:rsidRPr="00A31BA9">
        <w:rPr>
          <w:i/>
        </w:rPr>
        <w:t>The Tech</w:t>
      </w:r>
      <w:r w:rsidR="00050DBC">
        <w:t>, v. 113 n. 15, 19 March 1993, p. 1.</w:t>
      </w:r>
    </w:p>
  </w:footnote>
  <w:footnote w:id="53">
    <w:p w14:paraId="2F5B662C" w14:textId="77777777" w:rsidR="00B64E16" w:rsidRDefault="00B64E16">
      <w:pPr>
        <w:pStyle w:val="FootnoteText"/>
      </w:pPr>
      <w:r>
        <w:rPr>
          <w:rStyle w:val="FootnoteReference"/>
        </w:rPr>
        <w:footnoteRef/>
      </w:r>
      <w:proofErr w:type="gramStart"/>
      <w:r w:rsidR="00050DBC">
        <w:t xml:space="preserve">Kim, Hyun </w:t>
      </w:r>
      <w:proofErr w:type="spellStart"/>
      <w:r w:rsidR="00050DBC">
        <w:t>Soo</w:t>
      </w:r>
      <w:proofErr w:type="spellEnd"/>
      <w:r w:rsidR="00050DBC">
        <w:t>, “</w:t>
      </w:r>
      <w:r w:rsidR="00050DBC" w:rsidRPr="00A31BA9">
        <w:t>New Proposal Closes Dorm Dining Halls</w:t>
      </w:r>
      <w:r w:rsidR="00050DBC">
        <w:t xml:space="preserve">,” </w:t>
      </w:r>
      <w:r w:rsidR="00050DBC" w:rsidRPr="00A31BA9">
        <w:rPr>
          <w:i/>
        </w:rPr>
        <w:t>The Tech</w:t>
      </w:r>
      <w:r w:rsidR="00050DBC">
        <w:t>, v. 113 n. 7, 19 February 1993, p. 1.</w:t>
      </w:r>
      <w:proofErr w:type="gramEnd"/>
    </w:p>
  </w:footnote>
  <w:footnote w:id="54">
    <w:p w14:paraId="606B667F" w14:textId="756F2150" w:rsidR="00B64E16" w:rsidRDefault="00B64E16">
      <w:pPr>
        <w:pStyle w:val="FootnoteText"/>
      </w:pPr>
      <w:r>
        <w:rPr>
          <w:rStyle w:val="FootnoteReference"/>
        </w:rPr>
        <w:footnoteRef/>
      </w:r>
      <w:r w:rsidR="00050DBC">
        <w:t xml:space="preserve">“Food Services Must Be Improved,” Editorial, </w:t>
      </w:r>
      <w:proofErr w:type="gramStart"/>
      <w:r w:rsidRPr="00050DBC">
        <w:rPr>
          <w:i/>
        </w:rPr>
        <w:t>The</w:t>
      </w:r>
      <w:proofErr w:type="gramEnd"/>
      <w:r w:rsidRPr="00050DBC">
        <w:rPr>
          <w:i/>
        </w:rPr>
        <w:t xml:space="preserve"> </w:t>
      </w:r>
      <w:r w:rsidRPr="006B2804">
        <w:rPr>
          <w:i/>
        </w:rPr>
        <w:t>Tech</w:t>
      </w:r>
      <w:r w:rsidR="006B2804">
        <w:t xml:space="preserve">, </w:t>
      </w:r>
      <w:r w:rsidR="00050DBC" w:rsidRPr="006B2804">
        <w:t>v</w:t>
      </w:r>
      <w:r w:rsidR="00050DBC">
        <w:t>.</w:t>
      </w:r>
      <w:r>
        <w:t xml:space="preserve"> 113 </w:t>
      </w:r>
      <w:r w:rsidR="00050DBC">
        <w:t>n.</w:t>
      </w:r>
      <w:r>
        <w:t xml:space="preserve"> 43</w:t>
      </w:r>
      <w:r w:rsidR="00050DBC">
        <w:t>, 21 September 1993, p. 4.</w:t>
      </w:r>
    </w:p>
  </w:footnote>
  <w:footnote w:id="55">
    <w:p w14:paraId="1347FF0A" w14:textId="435DDDA4" w:rsidR="00B64E16" w:rsidRDefault="00B64E16">
      <w:pPr>
        <w:pStyle w:val="FootnoteText"/>
      </w:pPr>
      <w:r>
        <w:rPr>
          <w:rStyle w:val="FootnoteReference"/>
        </w:rPr>
        <w:footnoteRef/>
      </w:r>
      <w:proofErr w:type="gramStart"/>
      <w:r w:rsidR="0051630D">
        <w:t xml:space="preserve">Moy, Eva, “ARA Changes Reflect Feedback, Finances,” </w:t>
      </w:r>
      <w:r w:rsidRPr="0051630D">
        <w:rPr>
          <w:i/>
        </w:rPr>
        <w:t>The Tech</w:t>
      </w:r>
      <w:r w:rsidR="006B2804" w:rsidRPr="006B2804">
        <w:t>,</w:t>
      </w:r>
      <w:r w:rsidR="006B2804">
        <w:rPr>
          <w:i/>
        </w:rPr>
        <w:t xml:space="preserve"> </w:t>
      </w:r>
      <w:r w:rsidR="0051630D">
        <w:t>v.</w:t>
      </w:r>
      <w:r>
        <w:t xml:space="preserve"> 113 </w:t>
      </w:r>
      <w:r w:rsidR="0051630D">
        <w:t>n.</w:t>
      </w:r>
      <w:r>
        <w:t xml:space="preserve"> 40</w:t>
      </w:r>
      <w:r w:rsidR="0051630D">
        <w:t>, 10 September 1993, p. 1 and 23.</w:t>
      </w:r>
      <w:proofErr w:type="gramEnd"/>
    </w:p>
  </w:footnote>
  <w:footnote w:id="56">
    <w:p w14:paraId="4C0FE17F" w14:textId="77777777" w:rsidR="00B64E16" w:rsidRDefault="00B64E16">
      <w:pPr>
        <w:pStyle w:val="FootnoteText"/>
      </w:pPr>
      <w:r>
        <w:rPr>
          <w:rStyle w:val="FootnoteReference"/>
        </w:rPr>
        <w:footnoteRef/>
      </w:r>
      <w:proofErr w:type="spellStart"/>
      <w:r w:rsidR="0051630D">
        <w:t>Disraelly</w:t>
      </w:r>
      <w:proofErr w:type="spellEnd"/>
      <w:r w:rsidR="0051630D">
        <w:t xml:space="preserve">, Deena, “Residents, ARA Act to Prevent Closing of Baker Dining Hall,” </w:t>
      </w:r>
      <w:r w:rsidRPr="0051630D">
        <w:rPr>
          <w:i/>
        </w:rPr>
        <w:t>The Tech</w:t>
      </w:r>
      <w:proofErr w:type="gramStart"/>
      <w:r w:rsidR="0051630D">
        <w:t>,v.114</w:t>
      </w:r>
      <w:proofErr w:type="gramEnd"/>
      <w:r w:rsidR="0051630D">
        <w:t xml:space="preserve"> n.</w:t>
      </w:r>
      <w:r>
        <w:t xml:space="preserve"> 14</w:t>
      </w:r>
      <w:r w:rsidR="0051630D">
        <w:t>, 15 March 1994,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30"/>
    <w:rsid w:val="00030280"/>
    <w:rsid w:val="0004046C"/>
    <w:rsid w:val="00050DBC"/>
    <w:rsid w:val="00066E4B"/>
    <w:rsid w:val="00067CAA"/>
    <w:rsid w:val="00083945"/>
    <w:rsid w:val="000E7C62"/>
    <w:rsid w:val="000F066A"/>
    <w:rsid w:val="001304C6"/>
    <w:rsid w:val="00131F5B"/>
    <w:rsid w:val="00162227"/>
    <w:rsid w:val="00162BB2"/>
    <w:rsid w:val="001845A3"/>
    <w:rsid w:val="00191526"/>
    <w:rsid w:val="00191FB7"/>
    <w:rsid w:val="00210875"/>
    <w:rsid w:val="0022046D"/>
    <w:rsid w:val="00225B6D"/>
    <w:rsid w:val="00227FC8"/>
    <w:rsid w:val="00247CB6"/>
    <w:rsid w:val="00280481"/>
    <w:rsid w:val="00282D75"/>
    <w:rsid w:val="00287C54"/>
    <w:rsid w:val="00291B4B"/>
    <w:rsid w:val="00291B7F"/>
    <w:rsid w:val="002931B0"/>
    <w:rsid w:val="002A0391"/>
    <w:rsid w:val="002D43D1"/>
    <w:rsid w:val="002D7A7F"/>
    <w:rsid w:val="002F3079"/>
    <w:rsid w:val="0031671B"/>
    <w:rsid w:val="00380F39"/>
    <w:rsid w:val="00390671"/>
    <w:rsid w:val="003D66B2"/>
    <w:rsid w:val="00411163"/>
    <w:rsid w:val="00413488"/>
    <w:rsid w:val="00420B7A"/>
    <w:rsid w:val="00431635"/>
    <w:rsid w:val="00444782"/>
    <w:rsid w:val="00452827"/>
    <w:rsid w:val="004730CC"/>
    <w:rsid w:val="004C663C"/>
    <w:rsid w:val="004D111F"/>
    <w:rsid w:val="004D4680"/>
    <w:rsid w:val="004E5678"/>
    <w:rsid w:val="005142A8"/>
    <w:rsid w:val="0051630D"/>
    <w:rsid w:val="00565393"/>
    <w:rsid w:val="00570444"/>
    <w:rsid w:val="005C004B"/>
    <w:rsid w:val="005C6194"/>
    <w:rsid w:val="005D5716"/>
    <w:rsid w:val="005F33B1"/>
    <w:rsid w:val="005F3BE8"/>
    <w:rsid w:val="005F3ED6"/>
    <w:rsid w:val="00627714"/>
    <w:rsid w:val="006434E4"/>
    <w:rsid w:val="0064374B"/>
    <w:rsid w:val="00653DEF"/>
    <w:rsid w:val="00685F37"/>
    <w:rsid w:val="00691B76"/>
    <w:rsid w:val="00693A9C"/>
    <w:rsid w:val="006A5D3C"/>
    <w:rsid w:val="006B2804"/>
    <w:rsid w:val="006B310E"/>
    <w:rsid w:val="006B4AAA"/>
    <w:rsid w:val="006B7B7A"/>
    <w:rsid w:val="006D2A16"/>
    <w:rsid w:val="006E2BF2"/>
    <w:rsid w:val="00703936"/>
    <w:rsid w:val="0072703D"/>
    <w:rsid w:val="00732A54"/>
    <w:rsid w:val="007563DB"/>
    <w:rsid w:val="00797920"/>
    <w:rsid w:val="007A56B3"/>
    <w:rsid w:val="00802F70"/>
    <w:rsid w:val="00862453"/>
    <w:rsid w:val="00895B64"/>
    <w:rsid w:val="008E6B63"/>
    <w:rsid w:val="00927353"/>
    <w:rsid w:val="009349EB"/>
    <w:rsid w:val="0094030C"/>
    <w:rsid w:val="00993A8D"/>
    <w:rsid w:val="009A30DB"/>
    <w:rsid w:val="009C53D6"/>
    <w:rsid w:val="009D7E80"/>
    <w:rsid w:val="009F4D6C"/>
    <w:rsid w:val="009F6A1D"/>
    <w:rsid w:val="00A04507"/>
    <w:rsid w:val="00A313B0"/>
    <w:rsid w:val="00A31BA9"/>
    <w:rsid w:val="00A32126"/>
    <w:rsid w:val="00A50767"/>
    <w:rsid w:val="00A7127A"/>
    <w:rsid w:val="00A969EC"/>
    <w:rsid w:val="00A971D6"/>
    <w:rsid w:val="00AC4AAD"/>
    <w:rsid w:val="00AD57E1"/>
    <w:rsid w:val="00AD75DB"/>
    <w:rsid w:val="00AF6791"/>
    <w:rsid w:val="00B22E5E"/>
    <w:rsid w:val="00B55199"/>
    <w:rsid w:val="00B64E16"/>
    <w:rsid w:val="00BD2275"/>
    <w:rsid w:val="00BE5859"/>
    <w:rsid w:val="00BF3CFE"/>
    <w:rsid w:val="00C07156"/>
    <w:rsid w:val="00C70F40"/>
    <w:rsid w:val="00C80603"/>
    <w:rsid w:val="00CB2E10"/>
    <w:rsid w:val="00CE7CDE"/>
    <w:rsid w:val="00CF63D3"/>
    <w:rsid w:val="00D370F5"/>
    <w:rsid w:val="00D61E7B"/>
    <w:rsid w:val="00D651A5"/>
    <w:rsid w:val="00D74652"/>
    <w:rsid w:val="00D955B6"/>
    <w:rsid w:val="00DA55B1"/>
    <w:rsid w:val="00DB1E6D"/>
    <w:rsid w:val="00DB71F2"/>
    <w:rsid w:val="00DE4230"/>
    <w:rsid w:val="00DF58B0"/>
    <w:rsid w:val="00E207B0"/>
    <w:rsid w:val="00E474EB"/>
    <w:rsid w:val="00E54019"/>
    <w:rsid w:val="00E92DEE"/>
    <w:rsid w:val="00EA37DF"/>
    <w:rsid w:val="00EB0DBA"/>
    <w:rsid w:val="00EC70EA"/>
    <w:rsid w:val="00EE7FC4"/>
    <w:rsid w:val="00EF7E19"/>
    <w:rsid w:val="00F1685C"/>
    <w:rsid w:val="00F24185"/>
    <w:rsid w:val="00F73080"/>
    <w:rsid w:val="00F949D9"/>
    <w:rsid w:val="00FA0BA9"/>
    <w:rsid w:val="00FC1C9D"/>
    <w:rsid w:val="00FC253A"/>
    <w:rsid w:val="00FC5B00"/>
    <w:rsid w:val="00FC72F4"/>
    <w:rsid w:val="00FF19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6B3"/>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7A56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0BA9"/>
    <w:pPr>
      <w:spacing w:after="0" w:line="240" w:lineRule="auto"/>
    </w:pPr>
    <w:rPr>
      <w:sz w:val="20"/>
      <w:szCs w:val="20"/>
    </w:rPr>
  </w:style>
  <w:style w:type="character" w:customStyle="1" w:styleId="FootnoteTextChar">
    <w:name w:val="Footnote Text Char"/>
    <w:basedOn w:val="DefaultParagraphFont"/>
    <w:link w:val="FootnoteText"/>
    <w:uiPriority w:val="99"/>
    <w:rsid w:val="00FA0BA9"/>
    <w:rPr>
      <w:sz w:val="20"/>
      <w:szCs w:val="20"/>
    </w:rPr>
  </w:style>
  <w:style w:type="character" w:styleId="FootnoteReference">
    <w:name w:val="footnote reference"/>
    <w:basedOn w:val="DefaultParagraphFont"/>
    <w:uiPriority w:val="99"/>
    <w:semiHidden/>
    <w:unhideWhenUsed/>
    <w:rsid w:val="00FA0BA9"/>
    <w:rPr>
      <w:vertAlign w:val="superscript"/>
    </w:rPr>
  </w:style>
  <w:style w:type="character" w:styleId="Hyperlink">
    <w:name w:val="Hyperlink"/>
    <w:basedOn w:val="DefaultParagraphFont"/>
    <w:uiPriority w:val="99"/>
    <w:unhideWhenUsed/>
    <w:rsid w:val="00B64E16"/>
    <w:rPr>
      <w:color w:val="0000FF" w:themeColor="hyperlink"/>
      <w:u w:val="single"/>
    </w:rPr>
  </w:style>
  <w:style w:type="paragraph" w:styleId="BalloonText">
    <w:name w:val="Balloon Text"/>
    <w:basedOn w:val="Normal"/>
    <w:link w:val="BalloonTextChar"/>
    <w:uiPriority w:val="99"/>
    <w:semiHidden/>
    <w:unhideWhenUsed/>
    <w:rsid w:val="007A5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B3"/>
    <w:rPr>
      <w:rFonts w:ascii="Tahoma" w:hAnsi="Tahoma" w:cs="Tahoma"/>
      <w:sz w:val="16"/>
      <w:szCs w:val="16"/>
    </w:rPr>
  </w:style>
  <w:style w:type="character" w:customStyle="1" w:styleId="Heading1Char">
    <w:name w:val="Heading 1 Char"/>
    <w:basedOn w:val="DefaultParagraphFont"/>
    <w:link w:val="Heading1"/>
    <w:uiPriority w:val="9"/>
    <w:rsid w:val="007A56B3"/>
    <w:rPr>
      <w:rFonts w:asciiTheme="majorHAnsi" w:eastAsiaTheme="majorEastAsia" w:hAnsiTheme="majorHAnsi" w:cstheme="majorBidi"/>
      <w:b/>
      <w:bCs/>
      <w:color w:val="376092" w:themeColor="accent1" w:themeShade="BF"/>
      <w:sz w:val="28"/>
      <w:szCs w:val="28"/>
    </w:rPr>
  </w:style>
  <w:style w:type="paragraph" w:styleId="Title">
    <w:name w:val="Title"/>
    <w:basedOn w:val="Normal"/>
    <w:next w:val="Normal"/>
    <w:link w:val="TitleChar"/>
    <w:uiPriority w:val="10"/>
    <w:qFormat/>
    <w:rsid w:val="007A56B3"/>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7A56B3"/>
    <w:rPr>
      <w:rFonts w:asciiTheme="majorHAnsi" w:eastAsiaTheme="majorEastAsia" w:hAnsiTheme="majorHAnsi" w:cstheme="majorBidi"/>
      <w:color w:val="17375E" w:themeColor="text2" w:themeShade="BF"/>
      <w:spacing w:val="5"/>
      <w:kern w:val="28"/>
      <w:sz w:val="52"/>
      <w:szCs w:val="52"/>
    </w:rPr>
  </w:style>
  <w:style w:type="character" w:customStyle="1" w:styleId="Heading2Char">
    <w:name w:val="Heading 2 Char"/>
    <w:basedOn w:val="DefaultParagraphFont"/>
    <w:link w:val="Heading2"/>
    <w:uiPriority w:val="9"/>
    <w:rsid w:val="007A56B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D2A16"/>
    <w:rPr>
      <w:sz w:val="16"/>
      <w:szCs w:val="16"/>
    </w:rPr>
  </w:style>
  <w:style w:type="paragraph" w:styleId="CommentText">
    <w:name w:val="annotation text"/>
    <w:basedOn w:val="Normal"/>
    <w:link w:val="CommentTextChar"/>
    <w:uiPriority w:val="99"/>
    <w:semiHidden/>
    <w:unhideWhenUsed/>
    <w:rsid w:val="006D2A16"/>
    <w:pPr>
      <w:spacing w:line="240" w:lineRule="auto"/>
    </w:pPr>
    <w:rPr>
      <w:sz w:val="20"/>
      <w:szCs w:val="20"/>
    </w:rPr>
  </w:style>
  <w:style w:type="character" w:customStyle="1" w:styleId="CommentTextChar">
    <w:name w:val="Comment Text Char"/>
    <w:basedOn w:val="DefaultParagraphFont"/>
    <w:link w:val="CommentText"/>
    <w:uiPriority w:val="99"/>
    <w:semiHidden/>
    <w:rsid w:val="006D2A16"/>
    <w:rPr>
      <w:sz w:val="20"/>
      <w:szCs w:val="20"/>
    </w:rPr>
  </w:style>
  <w:style w:type="paragraph" w:styleId="CommentSubject">
    <w:name w:val="annotation subject"/>
    <w:basedOn w:val="CommentText"/>
    <w:next w:val="CommentText"/>
    <w:link w:val="CommentSubjectChar"/>
    <w:uiPriority w:val="99"/>
    <w:semiHidden/>
    <w:unhideWhenUsed/>
    <w:rsid w:val="006D2A16"/>
    <w:rPr>
      <w:b/>
      <w:bCs/>
    </w:rPr>
  </w:style>
  <w:style w:type="character" w:customStyle="1" w:styleId="CommentSubjectChar">
    <w:name w:val="Comment Subject Char"/>
    <w:basedOn w:val="CommentTextChar"/>
    <w:link w:val="CommentSubject"/>
    <w:uiPriority w:val="99"/>
    <w:semiHidden/>
    <w:rsid w:val="006D2A16"/>
    <w:rPr>
      <w:b/>
      <w:bCs/>
      <w:sz w:val="20"/>
      <w:szCs w:val="20"/>
    </w:rPr>
  </w:style>
  <w:style w:type="character" w:styleId="FollowedHyperlink">
    <w:name w:val="FollowedHyperlink"/>
    <w:basedOn w:val="DefaultParagraphFont"/>
    <w:uiPriority w:val="99"/>
    <w:semiHidden/>
    <w:unhideWhenUsed/>
    <w:rsid w:val="00895B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6B3"/>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7A56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0BA9"/>
    <w:pPr>
      <w:spacing w:after="0" w:line="240" w:lineRule="auto"/>
    </w:pPr>
    <w:rPr>
      <w:sz w:val="20"/>
      <w:szCs w:val="20"/>
    </w:rPr>
  </w:style>
  <w:style w:type="character" w:customStyle="1" w:styleId="FootnoteTextChar">
    <w:name w:val="Footnote Text Char"/>
    <w:basedOn w:val="DefaultParagraphFont"/>
    <w:link w:val="FootnoteText"/>
    <w:uiPriority w:val="99"/>
    <w:rsid w:val="00FA0BA9"/>
    <w:rPr>
      <w:sz w:val="20"/>
      <w:szCs w:val="20"/>
    </w:rPr>
  </w:style>
  <w:style w:type="character" w:styleId="FootnoteReference">
    <w:name w:val="footnote reference"/>
    <w:basedOn w:val="DefaultParagraphFont"/>
    <w:uiPriority w:val="99"/>
    <w:semiHidden/>
    <w:unhideWhenUsed/>
    <w:rsid w:val="00FA0BA9"/>
    <w:rPr>
      <w:vertAlign w:val="superscript"/>
    </w:rPr>
  </w:style>
  <w:style w:type="character" w:styleId="Hyperlink">
    <w:name w:val="Hyperlink"/>
    <w:basedOn w:val="DefaultParagraphFont"/>
    <w:uiPriority w:val="99"/>
    <w:unhideWhenUsed/>
    <w:rsid w:val="00B64E16"/>
    <w:rPr>
      <w:color w:val="0000FF" w:themeColor="hyperlink"/>
      <w:u w:val="single"/>
    </w:rPr>
  </w:style>
  <w:style w:type="paragraph" w:styleId="BalloonText">
    <w:name w:val="Balloon Text"/>
    <w:basedOn w:val="Normal"/>
    <w:link w:val="BalloonTextChar"/>
    <w:uiPriority w:val="99"/>
    <w:semiHidden/>
    <w:unhideWhenUsed/>
    <w:rsid w:val="007A5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B3"/>
    <w:rPr>
      <w:rFonts w:ascii="Tahoma" w:hAnsi="Tahoma" w:cs="Tahoma"/>
      <w:sz w:val="16"/>
      <w:szCs w:val="16"/>
    </w:rPr>
  </w:style>
  <w:style w:type="character" w:customStyle="1" w:styleId="Heading1Char">
    <w:name w:val="Heading 1 Char"/>
    <w:basedOn w:val="DefaultParagraphFont"/>
    <w:link w:val="Heading1"/>
    <w:uiPriority w:val="9"/>
    <w:rsid w:val="007A56B3"/>
    <w:rPr>
      <w:rFonts w:asciiTheme="majorHAnsi" w:eastAsiaTheme="majorEastAsia" w:hAnsiTheme="majorHAnsi" w:cstheme="majorBidi"/>
      <w:b/>
      <w:bCs/>
      <w:color w:val="376092" w:themeColor="accent1" w:themeShade="BF"/>
      <w:sz w:val="28"/>
      <w:szCs w:val="28"/>
    </w:rPr>
  </w:style>
  <w:style w:type="paragraph" w:styleId="Title">
    <w:name w:val="Title"/>
    <w:basedOn w:val="Normal"/>
    <w:next w:val="Normal"/>
    <w:link w:val="TitleChar"/>
    <w:uiPriority w:val="10"/>
    <w:qFormat/>
    <w:rsid w:val="007A56B3"/>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7A56B3"/>
    <w:rPr>
      <w:rFonts w:asciiTheme="majorHAnsi" w:eastAsiaTheme="majorEastAsia" w:hAnsiTheme="majorHAnsi" w:cstheme="majorBidi"/>
      <w:color w:val="17375E" w:themeColor="text2" w:themeShade="BF"/>
      <w:spacing w:val="5"/>
      <w:kern w:val="28"/>
      <w:sz w:val="52"/>
      <w:szCs w:val="52"/>
    </w:rPr>
  </w:style>
  <w:style w:type="character" w:customStyle="1" w:styleId="Heading2Char">
    <w:name w:val="Heading 2 Char"/>
    <w:basedOn w:val="DefaultParagraphFont"/>
    <w:link w:val="Heading2"/>
    <w:uiPriority w:val="9"/>
    <w:rsid w:val="007A56B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D2A16"/>
    <w:rPr>
      <w:sz w:val="16"/>
      <w:szCs w:val="16"/>
    </w:rPr>
  </w:style>
  <w:style w:type="paragraph" w:styleId="CommentText">
    <w:name w:val="annotation text"/>
    <w:basedOn w:val="Normal"/>
    <w:link w:val="CommentTextChar"/>
    <w:uiPriority w:val="99"/>
    <w:semiHidden/>
    <w:unhideWhenUsed/>
    <w:rsid w:val="006D2A16"/>
    <w:pPr>
      <w:spacing w:line="240" w:lineRule="auto"/>
    </w:pPr>
    <w:rPr>
      <w:sz w:val="20"/>
      <w:szCs w:val="20"/>
    </w:rPr>
  </w:style>
  <w:style w:type="character" w:customStyle="1" w:styleId="CommentTextChar">
    <w:name w:val="Comment Text Char"/>
    <w:basedOn w:val="DefaultParagraphFont"/>
    <w:link w:val="CommentText"/>
    <w:uiPriority w:val="99"/>
    <w:semiHidden/>
    <w:rsid w:val="006D2A16"/>
    <w:rPr>
      <w:sz w:val="20"/>
      <w:szCs w:val="20"/>
    </w:rPr>
  </w:style>
  <w:style w:type="paragraph" w:styleId="CommentSubject">
    <w:name w:val="annotation subject"/>
    <w:basedOn w:val="CommentText"/>
    <w:next w:val="CommentText"/>
    <w:link w:val="CommentSubjectChar"/>
    <w:uiPriority w:val="99"/>
    <w:semiHidden/>
    <w:unhideWhenUsed/>
    <w:rsid w:val="006D2A16"/>
    <w:rPr>
      <w:b/>
      <w:bCs/>
    </w:rPr>
  </w:style>
  <w:style w:type="character" w:customStyle="1" w:styleId="CommentSubjectChar">
    <w:name w:val="Comment Subject Char"/>
    <w:basedOn w:val="CommentTextChar"/>
    <w:link w:val="CommentSubject"/>
    <w:uiPriority w:val="99"/>
    <w:semiHidden/>
    <w:rsid w:val="006D2A16"/>
    <w:rPr>
      <w:b/>
      <w:bCs/>
      <w:sz w:val="20"/>
      <w:szCs w:val="20"/>
    </w:rPr>
  </w:style>
  <w:style w:type="character" w:styleId="FollowedHyperlink">
    <w:name w:val="FollowedHyperlink"/>
    <w:basedOn w:val="DefaultParagraphFont"/>
    <w:uiPriority w:val="99"/>
    <w:semiHidden/>
    <w:unhideWhenUsed/>
    <w:rsid w:val="00895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6F6C-94ED-464B-B292-69729B2B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cp:revision>
  <cp:lastPrinted>2010-05-04T22:56:00Z</cp:lastPrinted>
  <dcterms:created xsi:type="dcterms:W3CDTF">2010-05-05T20:10:00Z</dcterms:created>
  <dcterms:modified xsi:type="dcterms:W3CDTF">2010-05-05T20:16:00Z</dcterms:modified>
</cp:coreProperties>
</file>