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835" w:type="dxa"/>
        <w:tblCellMar>
          <w:left w:w="187" w:type="dxa"/>
          <w:right w:w="187" w:type="dxa"/>
        </w:tblCellMar>
        <w:tblLook w:val="0000" w:firstRow="0" w:lastRow="0" w:firstColumn="0" w:lastColumn="0" w:noHBand="0" w:noVBand="0"/>
      </w:tblPr>
      <w:tblGrid>
        <w:gridCol w:w="4998"/>
      </w:tblGrid>
      <w:tr w:rsidR="00934D1C" w:rsidTr="00934D1C">
        <w:trPr>
          <w:trHeight w:val="720"/>
        </w:trPr>
        <w:tc>
          <w:tcPr>
            <w:tcW w:w="4998" w:type="dxa"/>
            <w:tcMar>
              <w:left w:w="0" w:type="dxa"/>
              <w:right w:w="0" w:type="dxa"/>
            </w:tcMar>
          </w:tcPr>
          <w:p w:rsidR="00934D1C" w:rsidRDefault="00934D1C">
            <w:pPr>
              <w:pStyle w:val="ReturnAddress"/>
            </w:pPr>
          </w:p>
        </w:tc>
      </w:tr>
    </w:tbl>
    <w:p w:rsidR="00061E60" w:rsidRPr="00983F4F" w:rsidRDefault="009D79EC">
      <w:pPr>
        <w:pStyle w:val="DocumentLabel"/>
        <w:rPr>
          <w:rFonts w:asciiTheme="majorHAnsi" w:hAnsiTheme="majorHAnsi" w:cstheme="minorHAnsi"/>
        </w:rPr>
      </w:pPr>
      <w:r w:rsidRPr="00983F4F">
        <w:rPr>
          <w:rFonts w:asciiTheme="majorHAnsi" w:hAnsiTheme="majorHAnsi" w:cstheme="minorHAnsi"/>
        </w:rPr>
        <w:t>Memo</w:t>
      </w:r>
    </w:p>
    <w:p w:rsidR="00061E60" w:rsidRPr="00983F4F" w:rsidRDefault="009D79EC">
      <w:pPr>
        <w:pStyle w:val="MessageHeaderFirst"/>
        <w:rPr>
          <w:rFonts w:asciiTheme="majorHAnsi" w:hAnsiTheme="majorHAnsi" w:cstheme="minorHAnsi"/>
        </w:rPr>
      </w:pPr>
      <w:r w:rsidRPr="00983F4F">
        <w:rPr>
          <w:rStyle w:val="MessageHeaderLabel"/>
          <w:rFonts w:asciiTheme="majorHAnsi" w:hAnsiTheme="majorHAnsi" w:cstheme="minorHAnsi"/>
          <w:spacing w:val="-25"/>
        </w:rPr>
        <w:t>T</w:t>
      </w:r>
      <w:r w:rsidRPr="00983F4F">
        <w:rPr>
          <w:rStyle w:val="MessageHeaderLabel"/>
          <w:rFonts w:asciiTheme="majorHAnsi" w:hAnsiTheme="majorHAnsi" w:cstheme="minorHAnsi"/>
        </w:rPr>
        <w:t>o:</w:t>
      </w:r>
      <w:r w:rsidRPr="00983F4F">
        <w:rPr>
          <w:rFonts w:asciiTheme="majorHAnsi" w:hAnsiTheme="majorHAnsi" w:cstheme="minorHAnsi"/>
        </w:rPr>
        <w:tab/>
      </w:r>
      <w:r w:rsidR="00980637" w:rsidRPr="00983F4F">
        <w:rPr>
          <w:rFonts w:asciiTheme="majorHAnsi" w:hAnsiTheme="majorHAnsi" w:cstheme="minorHAnsi"/>
        </w:rPr>
        <w:t>Radiological Devices Panel, Medical Devices Advisory Committee, Food and Drug Administration</w:t>
      </w:r>
    </w:p>
    <w:p w:rsidR="00980637" w:rsidRPr="00983F4F" w:rsidRDefault="009D79EC" w:rsidP="00FA64E1">
      <w:pPr>
        <w:pStyle w:val="MessageHeader"/>
        <w:rPr>
          <w:rFonts w:asciiTheme="majorHAnsi" w:hAnsiTheme="majorHAnsi" w:cstheme="minorHAnsi"/>
        </w:rPr>
      </w:pPr>
      <w:r w:rsidRPr="00983F4F">
        <w:rPr>
          <w:rStyle w:val="MessageHeaderLabel"/>
          <w:rFonts w:asciiTheme="majorHAnsi" w:hAnsiTheme="majorHAnsi" w:cstheme="minorHAnsi"/>
        </w:rPr>
        <w:t>From:</w:t>
      </w:r>
      <w:r w:rsidRPr="00983F4F">
        <w:rPr>
          <w:rFonts w:asciiTheme="majorHAnsi" w:hAnsiTheme="majorHAnsi" w:cstheme="minorHAnsi"/>
        </w:rPr>
        <w:tab/>
      </w:r>
      <w:r w:rsidR="00980637" w:rsidRPr="00983F4F">
        <w:rPr>
          <w:rFonts w:asciiTheme="majorHAnsi" w:hAnsiTheme="majorHAnsi" w:cstheme="minorHAnsi"/>
        </w:rPr>
        <w:t>Michael Plasmeier</w:t>
      </w:r>
      <w:r w:rsidR="00FA64E1">
        <w:rPr>
          <w:rFonts w:asciiTheme="majorHAnsi" w:hAnsiTheme="majorHAnsi" w:cstheme="minorHAnsi"/>
        </w:rPr>
        <w:t xml:space="preserve"> (</w:t>
      </w:r>
      <w:r w:rsidR="00FA64E1" w:rsidRPr="00FA64E1">
        <w:rPr>
          <w:rFonts w:asciiTheme="majorHAnsi" w:hAnsiTheme="majorHAnsi" w:cstheme="minorHAnsi"/>
        </w:rPr>
        <w:t>Rudolph</w:t>
      </w:r>
      <w:r w:rsidR="00FA64E1">
        <w:rPr>
          <w:rFonts w:asciiTheme="majorHAnsi" w:hAnsiTheme="majorHAnsi" w:cstheme="minorHAnsi"/>
        </w:rPr>
        <w:t xml:space="preserve"> 10AM)</w:t>
      </w:r>
    </w:p>
    <w:p w:rsidR="00061E60" w:rsidRPr="00983F4F" w:rsidRDefault="009D79EC">
      <w:pPr>
        <w:pStyle w:val="MessageHeader"/>
        <w:rPr>
          <w:rFonts w:asciiTheme="majorHAnsi" w:hAnsiTheme="majorHAnsi" w:cstheme="minorHAnsi"/>
        </w:rPr>
      </w:pPr>
      <w:r w:rsidRPr="00983F4F">
        <w:rPr>
          <w:rStyle w:val="MessageHeaderLabel"/>
          <w:rFonts w:asciiTheme="majorHAnsi" w:hAnsiTheme="majorHAnsi" w:cstheme="minorHAnsi"/>
        </w:rPr>
        <w:t>Date:</w:t>
      </w:r>
      <w:r w:rsidRPr="00983F4F">
        <w:rPr>
          <w:rFonts w:asciiTheme="majorHAnsi" w:hAnsiTheme="majorHAnsi" w:cstheme="minorHAnsi"/>
        </w:rPr>
        <w:tab/>
      </w:r>
      <w:r w:rsidRPr="00983F4F">
        <w:rPr>
          <w:rFonts w:asciiTheme="majorHAnsi" w:hAnsiTheme="majorHAnsi" w:cstheme="minorHAnsi"/>
        </w:rPr>
        <w:fldChar w:fldCharType="begin"/>
      </w:r>
      <w:r w:rsidRPr="00983F4F">
        <w:rPr>
          <w:rFonts w:asciiTheme="majorHAnsi" w:hAnsiTheme="majorHAnsi" w:cstheme="minorHAnsi"/>
        </w:rPr>
        <w:instrText xml:space="preserve"> DATE \* MERGEFORMAT </w:instrText>
      </w:r>
      <w:r w:rsidRPr="00983F4F">
        <w:rPr>
          <w:rFonts w:asciiTheme="majorHAnsi" w:hAnsiTheme="majorHAnsi" w:cstheme="minorHAnsi"/>
        </w:rPr>
        <w:fldChar w:fldCharType="separate"/>
      </w:r>
      <w:r w:rsidR="008E431F">
        <w:rPr>
          <w:rFonts w:asciiTheme="majorHAnsi" w:hAnsiTheme="majorHAnsi" w:cstheme="minorHAnsi"/>
          <w:noProof/>
        </w:rPr>
        <w:t>2/19/2012</w:t>
      </w:r>
      <w:r w:rsidRPr="00983F4F">
        <w:rPr>
          <w:rFonts w:asciiTheme="majorHAnsi" w:hAnsiTheme="majorHAnsi" w:cstheme="minorHAnsi"/>
        </w:rPr>
        <w:fldChar w:fldCharType="end"/>
      </w:r>
    </w:p>
    <w:p w:rsidR="00061E60" w:rsidRPr="00983F4F" w:rsidRDefault="009D79EC">
      <w:pPr>
        <w:pStyle w:val="MessageHeaderLast"/>
        <w:rPr>
          <w:rFonts w:asciiTheme="majorHAnsi" w:hAnsiTheme="majorHAnsi" w:cstheme="minorHAnsi"/>
        </w:rPr>
      </w:pPr>
      <w:r w:rsidRPr="00983F4F">
        <w:rPr>
          <w:rStyle w:val="MessageHeaderLabel"/>
          <w:rFonts w:asciiTheme="majorHAnsi" w:hAnsiTheme="majorHAnsi" w:cstheme="minorHAnsi"/>
        </w:rPr>
        <w:t>Re:</w:t>
      </w:r>
      <w:r w:rsidRPr="00983F4F">
        <w:rPr>
          <w:rFonts w:asciiTheme="majorHAnsi" w:hAnsiTheme="majorHAnsi" w:cstheme="minorHAnsi"/>
        </w:rPr>
        <w:tab/>
      </w:r>
      <w:r w:rsidR="00980637" w:rsidRPr="00983F4F">
        <w:rPr>
          <w:rFonts w:asciiTheme="majorHAnsi" w:hAnsiTheme="majorHAnsi" w:cstheme="minorHAnsi"/>
        </w:rPr>
        <w:t>Therac-25 Investigation</w:t>
      </w:r>
    </w:p>
    <w:p w:rsidR="00061E60" w:rsidRPr="00983F4F" w:rsidRDefault="00983F4F" w:rsidP="00220300">
      <w:pPr>
        <w:pStyle w:val="Heading1"/>
        <w:rPr>
          <w:rFonts w:asciiTheme="majorHAnsi" w:hAnsiTheme="majorHAnsi" w:cstheme="minorHAnsi"/>
          <w:b/>
          <w:sz w:val="24"/>
        </w:rPr>
      </w:pPr>
      <w:r w:rsidRPr="00983F4F">
        <w:rPr>
          <w:rFonts w:asciiTheme="majorHAnsi" w:hAnsiTheme="majorHAnsi" w:cstheme="minorHAnsi"/>
          <w:b/>
          <w:sz w:val="24"/>
        </w:rPr>
        <w:t>Requiring Logging will help in the Investigation of Future Accidents</w:t>
      </w:r>
    </w:p>
    <w:p w:rsidR="00983F4F" w:rsidRPr="00983F4F" w:rsidRDefault="00983F4F" w:rsidP="00220300">
      <w:pPr>
        <w:pStyle w:val="BodyText"/>
        <w:jc w:val="left"/>
        <w:rPr>
          <w:rFonts w:asciiTheme="minorHAnsi" w:hAnsiTheme="minorHAnsi" w:cstheme="minorHAnsi"/>
          <w:sz w:val="22"/>
        </w:rPr>
      </w:pPr>
      <w:r w:rsidRPr="00983F4F">
        <w:rPr>
          <w:rFonts w:asciiTheme="minorHAnsi" w:hAnsiTheme="minorHAnsi" w:cstheme="minorHAnsi"/>
          <w:sz w:val="22"/>
        </w:rPr>
        <w:t xml:space="preserve">Thank you for the opportunity to comment on the investigation into the Therac-25 accident.  </w:t>
      </w:r>
    </w:p>
    <w:p w:rsidR="00AB271A" w:rsidRDefault="00983F4F" w:rsidP="00220300">
      <w:pPr>
        <w:pStyle w:val="BodyText"/>
        <w:jc w:val="left"/>
        <w:rPr>
          <w:rFonts w:asciiTheme="minorHAnsi" w:hAnsiTheme="minorHAnsi" w:cstheme="minorHAnsi"/>
          <w:sz w:val="22"/>
        </w:rPr>
      </w:pPr>
      <w:r w:rsidRPr="00983F4F">
        <w:rPr>
          <w:rFonts w:asciiTheme="minorHAnsi" w:hAnsiTheme="minorHAnsi" w:cstheme="minorHAnsi"/>
          <w:sz w:val="22"/>
        </w:rPr>
        <w:t>In order to help the investigation of future accidents, the FDA should require that new</w:t>
      </w:r>
      <w:r w:rsidR="00333F3D">
        <w:rPr>
          <w:rFonts w:asciiTheme="minorHAnsi" w:hAnsiTheme="minorHAnsi" w:cstheme="minorHAnsi"/>
          <w:sz w:val="22"/>
        </w:rPr>
        <w:t xml:space="preserve"> radiological</w:t>
      </w:r>
      <w:r w:rsidR="00534010">
        <w:rPr>
          <w:rFonts w:asciiTheme="minorHAnsi" w:hAnsiTheme="minorHAnsi" w:cstheme="minorHAnsi"/>
          <w:sz w:val="22"/>
        </w:rPr>
        <w:t xml:space="preserve"> medical devices </w:t>
      </w:r>
      <w:r w:rsidR="00AB3205">
        <w:rPr>
          <w:rFonts w:asciiTheme="minorHAnsi" w:hAnsiTheme="minorHAnsi" w:cstheme="minorHAnsi"/>
          <w:sz w:val="22"/>
        </w:rPr>
        <w:t xml:space="preserve">log all </w:t>
      </w:r>
      <w:r w:rsidRPr="00983F4F">
        <w:rPr>
          <w:rFonts w:asciiTheme="minorHAnsi" w:hAnsiTheme="minorHAnsi" w:cstheme="minorHAnsi"/>
          <w:sz w:val="22"/>
        </w:rPr>
        <w:t>physical operations of the machine.</w:t>
      </w:r>
    </w:p>
    <w:p w:rsidR="00AB3205" w:rsidRDefault="00AB271A" w:rsidP="00220300">
      <w:pPr>
        <w:pStyle w:val="BodyText"/>
        <w:jc w:val="left"/>
        <w:rPr>
          <w:rFonts w:asciiTheme="minorHAnsi" w:hAnsiTheme="minorHAnsi" w:cstheme="minorHAnsi"/>
          <w:sz w:val="22"/>
        </w:rPr>
      </w:pPr>
      <w:r>
        <w:rPr>
          <w:rFonts w:asciiTheme="minorHAnsi" w:hAnsiTheme="minorHAnsi" w:cstheme="minorHAnsi"/>
          <w:sz w:val="22"/>
        </w:rPr>
        <w:t>All physical operations sh</w:t>
      </w:r>
      <w:r w:rsidR="00333F3D">
        <w:rPr>
          <w:rFonts w:asciiTheme="minorHAnsi" w:hAnsiTheme="minorHAnsi" w:cstheme="minorHAnsi"/>
          <w:sz w:val="22"/>
        </w:rPr>
        <w:t xml:space="preserve">ould </w:t>
      </w:r>
      <w:r>
        <w:rPr>
          <w:rFonts w:asciiTheme="minorHAnsi" w:hAnsiTheme="minorHAnsi" w:cstheme="minorHAnsi"/>
          <w:sz w:val="22"/>
        </w:rPr>
        <w:t xml:space="preserve">include all mechanical operations and all radiological events.  </w:t>
      </w:r>
      <w:r w:rsidRPr="00983F4F">
        <w:rPr>
          <w:rFonts w:asciiTheme="minorHAnsi" w:hAnsiTheme="minorHAnsi" w:cstheme="minorHAnsi"/>
          <w:sz w:val="22"/>
        </w:rPr>
        <w:t>In addition, the machine should log all of the parameters of a particular operation</w:t>
      </w:r>
      <w:r w:rsidR="00333F3D">
        <w:rPr>
          <w:rFonts w:asciiTheme="minorHAnsi" w:hAnsiTheme="minorHAnsi" w:cstheme="minorHAnsi"/>
          <w:sz w:val="22"/>
        </w:rPr>
        <w:t xml:space="preserve">.  </w:t>
      </w:r>
      <w:r w:rsidR="00AB3205">
        <w:rPr>
          <w:rFonts w:asciiTheme="minorHAnsi" w:hAnsiTheme="minorHAnsi" w:cstheme="minorHAnsi"/>
          <w:sz w:val="22"/>
        </w:rPr>
        <w:t xml:space="preserve">These parameters may sometimes by collectively </w:t>
      </w:r>
      <w:proofErr w:type="gramStart"/>
      <w:r w:rsidR="00AB3205">
        <w:rPr>
          <w:rFonts w:asciiTheme="minorHAnsi" w:hAnsiTheme="minorHAnsi" w:cstheme="minorHAnsi"/>
          <w:sz w:val="22"/>
        </w:rPr>
        <w:t>referred</w:t>
      </w:r>
      <w:proofErr w:type="gramEnd"/>
      <w:r w:rsidR="00AB3205">
        <w:rPr>
          <w:rFonts w:asciiTheme="minorHAnsi" w:hAnsiTheme="minorHAnsi" w:cstheme="minorHAnsi"/>
          <w:sz w:val="22"/>
        </w:rPr>
        <w:t xml:space="preserve"> to as the </w:t>
      </w:r>
      <w:r w:rsidR="00220300">
        <w:rPr>
          <w:rFonts w:asciiTheme="minorHAnsi" w:hAnsiTheme="minorHAnsi" w:cstheme="minorHAnsi"/>
          <w:sz w:val="22"/>
        </w:rPr>
        <w:t>“</w:t>
      </w:r>
      <w:r w:rsidR="00AB3205">
        <w:rPr>
          <w:rFonts w:asciiTheme="minorHAnsi" w:hAnsiTheme="minorHAnsi" w:cstheme="minorHAnsi"/>
          <w:sz w:val="22"/>
        </w:rPr>
        <w:t xml:space="preserve">treatment plan.”  </w:t>
      </w:r>
      <w:r w:rsidR="00333F3D">
        <w:rPr>
          <w:rFonts w:asciiTheme="minorHAnsi" w:hAnsiTheme="minorHAnsi" w:cstheme="minorHAnsi"/>
          <w:sz w:val="22"/>
        </w:rPr>
        <w:t xml:space="preserve">The machine should record the output of all </w:t>
      </w:r>
      <w:r>
        <w:rPr>
          <w:rFonts w:asciiTheme="minorHAnsi" w:hAnsiTheme="minorHAnsi" w:cstheme="minorHAnsi"/>
          <w:sz w:val="22"/>
        </w:rPr>
        <w:t>sensor</w:t>
      </w:r>
      <w:r w:rsidR="00333F3D">
        <w:rPr>
          <w:rFonts w:asciiTheme="minorHAnsi" w:hAnsiTheme="minorHAnsi" w:cstheme="minorHAnsi"/>
          <w:sz w:val="22"/>
        </w:rPr>
        <w:t>s before and after mechanical operations</w:t>
      </w:r>
      <w:r>
        <w:rPr>
          <w:rFonts w:asciiTheme="minorHAnsi" w:hAnsiTheme="minorHAnsi" w:cstheme="minorHAnsi"/>
          <w:sz w:val="22"/>
        </w:rPr>
        <w:t xml:space="preserve">.  </w:t>
      </w:r>
      <w:r w:rsidR="00AB3205">
        <w:rPr>
          <w:rFonts w:asciiTheme="minorHAnsi" w:hAnsiTheme="minorHAnsi" w:cstheme="minorHAnsi"/>
          <w:sz w:val="22"/>
        </w:rPr>
        <w:t>For radiological events, the machine should record the output of all sensors continuously</w:t>
      </w:r>
      <w:r w:rsidR="00220300">
        <w:rPr>
          <w:rFonts w:asciiTheme="minorHAnsi" w:hAnsiTheme="minorHAnsi" w:cstheme="minorHAnsi"/>
          <w:sz w:val="22"/>
        </w:rPr>
        <w:t xml:space="preserve"> during such operations</w:t>
      </w:r>
      <w:r w:rsidR="00AB3205">
        <w:rPr>
          <w:rFonts w:asciiTheme="minorHAnsi" w:hAnsiTheme="minorHAnsi" w:cstheme="minorHAnsi"/>
          <w:sz w:val="22"/>
        </w:rPr>
        <w:t>.</w:t>
      </w:r>
    </w:p>
    <w:p w:rsidR="00AB271A" w:rsidRDefault="00AB271A" w:rsidP="00220300">
      <w:pPr>
        <w:pStyle w:val="BodyText"/>
        <w:jc w:val="left"/>
        <w:rPr>
          <w:rFonts w:asciiTheme="minorHAnsi" w:hAnsiTheme="minorHAnsi" w:cstheme="minorHAnsi"/>
          <w:sz w:val="22"/>
        </w:rPr>
      </w:pPr>
      <w:r>
        <w:rPr>
          <w:rFonts w:asciiTheme="minorHAnsi" w:hAnsiTheme="minorHAnsi" w:cstheme="minorHAnsi"/>
          <w:sz w:val="22"/>
        </w:rPr>
        <w:t>For example, if the operator instructs the machine to rotate the turntable, th</w:t>
      </w:r>
      <w:r w:rsidR="00333F3D">
        <w:rPr>
          <w:rFonts w:asciiTheme="minorHAnsi" w:hAnsiTheme="minorHAnsi" w:cstheme="minorHAnsi"/>
          <w:sz w:val="22"/>
        </w:rPr>
        <w:t>at</w:t>
      </w:r>
      <w:r>
        <w:rPr>
          <w:rFonts w:asciiTheme="minorHAnsi" w:hAnsiTheme="minorHAnsi" w:cstheme="minorHAnsi"/>
          <w:sz w:val="22"/>
        </w:rPr>
        <w:t xml:space="preserve"> command, including the desired position of the </w:t>
      </w:r>
      <w:r w:rsidR="00333F3D">
        <w:rPr>
          <w:rFonts w:asciiTheme="minorHAnsi" w:hAnsiTheme="minorHAnsi" w:cstheme="minorHAnsi"/>
          <w:sz w:val="22"/>
        </w:rPr>
        <w:t>turntable</w:t>
      </w:r>
      <w:r>
        <w:rPr>
          <w:rFonts w:asciiTheme="minorHAnsi" w:hAnsiTheme="minorHAnsi" w:cstheme="minorHAnsi"/>
          <w:sz w:val="22"/>
        </w:rPr>
        <w:t xml:space="preserve"> should be recorded.  The machine should also record the output of the encoder on the turntable before and after the operation.</w:t>
      </w:r>
      <w:r w:rsidRPr="00983F4F">
        <w:rPr>
          <w:rFonts w:asciiTheme="minorHAnsi" w:hAnsiTheme="minorHAnsi" w:cstheme="minorHAnsi"/>
          <w:sz w:val="22"/>
        </w:rPr>
        <w:t xml:space="preserve"> </w:t>
      </w:r>
      <w:r w:rsidR="00AB3205">
        <w:rPr>
          <w:rFonts w:asciiTheme="minorHAnsi" w:hAnsiTheme="minorHAnsi" w:cstheme="minorHAnsi"/>
          <w:sz w:val="22"/>
        </w:rPr>
        <w:t xml:space="preserve">  </w:t>
      </w:r>
      <w:r w:rsidR="00220300">
        <w:rPr>
          <w:rFonts w:asciiTheme="minorHAnsi" w:hAnsiTheme="minorHAnsi" w:cstheme="minorHAnsi"/>
          <w:sz w:val="22"/>
        </w:rPr>
        <w:t>If the operator instructs the machine to engage, that command, along with all parameters (the “treatment plan”) should be recorded.  While the machine remains engaged, the data from all sensors should be logged.</w:t>
      </w:r>
    </w:p>
    <w:p w:rsidR="00AB271A" w:rsidRPr="00983F4F" w:rsidRDefault="00AB271A" w:rsidP="00220300">
      <w:pPr>
        <w:pStyle w:val="BodyText"/>
        <w:jc w:val="left"/>
        <w:rPr>
          <w:rFonts w:asciiTheme="minorHAnsi" w:hAnsiTheme="minorHAnsi" w:cstheme="minorHAnsi"/>
          <w:sz w:val="22"/>
        </w:rPr>
      </w:pPr>
      <w:r>
        <w:rPr>
          <w:rFonts w:asciiTheme="minorHAnsi" w:hAnsiTheme="minorHAnsi" w:cstheme="minorHAnsi"/>
          <w:sz w:val="22"/>
        </w:rPr>
        <w:t>These logs should be stored in a tamper-evident storage system which automatically retains all logs for 2 weeks.</w:t>
      </w:r>
    </w:p>
    <w:p w:rsidR="003E3F95" w:rsidRDefault="00AB271A" w:rsidP="00220300">
      <w:pPr>
        <w:pStyle w:val="BodyText"/>
        <w:jc w:val="left"/>
        <w:rPr>
          <w:rFonts w:asciiTheme="minorHAnsi" w:hAnsiTheme="minorHAnsi" w:cstheme="minorHAnsi"/>
          <w:sz w:val="22"/>
        </w:rPr>
      </w:pPr>
      <w:r w:rsidRPr="00983F4F">
        <w:rPr>
          <w:rFonts w:asciiTheme="minorHAnsi" w:hAnsiTheme="minorHAnsi" w:cstheme="minorHAnsi"/>
          <w:sz w:val="22"/>
        </w:rPr>
        <w:t xml:space="preserve"> </w:t>
      </w:r>
      <w:r w:rsidR="00983F4F" w:rsidRPr="00983F4F">
        <w:rPr>
          <w:rFonts w:asciiTheme="minorHAnsi" w:hAnsiTheme="minorHAnsi" w:cstheme="minorHAnsi"/>
          <w:sz w:val="22"/>
        </w:rPr>
        <w:t xml:space="preserve">“Black boxes” have proven invaluable helpful in the investigation of transportation accidents.  Since their introduction in the 1960s, “black boxes” have proven invaluable in the investigation of accidents </w:t>
      </w:r>
      <w:r w:rsidR="00534010">
        <w:rPr>
          <w:rFonts w:asciiTheme="minorHAnsi" w:hAnsiTheme="minorHAnsi" w:cstheme="minorHAnsi"/>
          <w:sz w:val="22"/>
        </w:rPr>
        <w:t>of aircraft, trains, automobiles, and ships.  These data loggers help investigators rewind the steps leading up to the accident, allowing the cause of an accident to be determined.  By understanding the cause</w:t>
      </w:r>
      <w:r w:rsidR="00333F3D">
        <w:rPr>
          <w:rFonts w:asciiTheme="minorHAnsi" w:hAnsiTheme="minorHAnsi" w:cstheme="minorHAnsi"/>
          <w:sz w:val="22"/>
        </w:rPr>
        <w:t xml:space="preserve"> of an accident</w:t>
      </w:r>
      <w:r w:rsidR="00534010">
        <w:rPr>
          <w:rFonts w:asciiTheme="minorHAnsi" w:hAnsiTheme="minorHAnsi" w:cstheme="minorHAnsi"/>
          <w:sz w:val="22"/>
        </w:rPr>
        <w:t>, regulators can help make sure that the incident does not reoccur.</w:t>
      </w:r>
      <w:r w:rsidR="00333F3D">
        <w:rPr>
          <w:rFonts w:asciiTheme="minorHAnsi" w:hAnsiTheme="minorHAnsi" w:cstheme="minorHAnsi"/>
          <w:sz w:val="22"/>
        </w:rPr>
        <w:t xml:space="preserve">  </w:t>
      </w:r>
    </w:p>
    <w:p w:rsidR="00983F4F" w:rsidRPr="00983F4F" w:rsidRDefault="003E3F95" w:rsidP="00220300">
      <w:pPr>
        <w:pStyle w:val="BodyText"/>
        <w:jc w:val="left"/>
        <w:rPr>
          <w:rFonts w:asciiTheme="minorHAnsi" w:hAnsiTheme="minorHAnsi" w:cstheme="minorHAnsi"/>
          <w:sz w:val="22"/>
        </w:rPr>
      </w:pPr>
      <w:r>
        <w:rPr>
          <w:rFonts w:asciiTheme="minorHAnsi" w:hAnsiTheme="minorHAnsi" w:cstheme="minorHAnsi"/>
          <w:sz w:val="22"/>
        </w:rPr>
        <w:t xml:space="preserve">For example, in the </w:t>
      </w:r>
      <w:r>
        <w:rPr>
          <w:rFonts w:asciiTheme="minorHAnsi" w:hAnsiTheme="minorHAnsi" w:cstheme="minorHAnsi"/>
          <w:sz w:val="22"/>
        </w:rPr>
        <w:t xml:space="preserve">case of the </w:t>
      </w:r>
      <w:r>
        <w:rPr>
          <w:rFonts w:asciiTheme="minorHAnsi" w:hAnsiTheme="minorHAnsi" w:cstheme="minorHAnsi"/>
          <w:sz w:val="22"/>
        </w:rPr>
        <w:t>Therac-25, the log could have been reviewed in the East Texas Cancer Center case to establish that the machine had</w:t>
      </w:r>
      <w:r w:rsidR="0064502E">
        <w:rPr>
          <w:rFonts w:asciiTheme="minorHAnsi" w:hAnsiTheme="minorHAnsi" w:cstheme="minorHAnsi"/>
          <w:sz w:val="22"/>
        </w:rPr>
        <w:t>,</w:t>
      </w:r>
      <w:r>
        <w:rPr>
          <w:rFonts w:asciiTheme="minorHAnsi" w:hAnsiTheme="minorHAnsi" w:cstheme="minorHAnsi"/>
          <w:sz w:val="22"/>
        </w:rPr>
        <w:t xml:space="preserve"> in fact</w:t>
      </w:r>
      <w:r w:rsidR="0064502E">
        <w:rPr>
          <w:rFonts w:asciiTheme="minorHAnsi" w:hAnsiTheme="minorHAnsi" w:cstheme="minorHAnsi"/>
          <w:sz w:val="22"/>
        </w:rPr>
        <w:t>,</w:t>
      </w:r>
      <w:r>
        <w:rPr>
          <w:rFonts w:asciiTheme="minorHAnsi" w:hAnsiTheme="minorHAnsi" w:cstheme="minorHAnsi"/>
          <w:sz w:val="22"/>
        </w:rPr>
        <w:t xml:space="preserve"> issued a massive overdose.  Because there was no log in place, the cause was diagnosed as an electric shock, and the machine was put back in service.  The same flaw occurred </w:t>
      </w:r>
      <w:r w:rsidR="0064502E">
        <w:rPr>
          <w:rFonts w:asciiTheme="minorHAnsi" w:hAnsiTheme="minorHAnsi" w:cstheme="minorHAnsi"/>
          <w:sz w:val="22"/>
        </w:rPr>
        <w:t xml:space="preserve">again </w:t>
      </w:r>
      <w:bookmarkStart w:id="0" w:name="_GoBack"/>
      <w:bookmarkEnd w:id="0"/>
      <w:r>
        <w:rPr>
          <w:rFonts w:asciiTheme="minorHAnsi" w:hAnsiTheme="minorHAnsi" w:cstheme="minorHAnsi"/>
          <w:sz w:val="22"/>
        </w:rPr>
        <w:t>three weeks later</w:t>
      </w:r>
      <w:r w:rsidR="000C54B7">
        <w:rPr>
          <w:rFonts w:asciiTheme="minorHAnsi" w:hAnsiTheme="minorHAnsi" w:cstheme="minorHAnsi"/>
          <w:sz w:val="22"/>
        </w:rPr>
        <w:t>, killing another patient</w:t>
      </w:r>
      <w:r>
        <w:rPr>
          <w:rFonts w:asciiTheme="minorHAnsi" w:hAnsiTheme="minorHAnsi" w:cstheme="minorHAnsi"/>
          <w:sz w:val="22"/>
        </w:rPr>
        <w:t xml:space="preserve">.  </w:t>
      </w:r>
      <w:r w:rsidR="00333F3D">
        <w:rPr>
          <w:rFonts w:asciiTheme="minorHAnsi" w:hAnsiTheme="minorHAnsi" w:cstheme="minorHAnsi"/>
          <w:sz w:val="22"/>
        </w:rPr>
        <w:t xml:space="preserve">The FDA should </w:t>
      </w:r>
      <w:r w:rsidR="0064502E">
        <w:rPr>
          <w:rFonts w:asciiTheme="minorHAnsi" w:hAnsiTheme="minorHAnsi" w:cstheme="minorHAnsi"/>
          <w:sz w:val="22"/>
        </w:rPr>
        <w:t xml:space="preserve">require </w:t>
      </w:r>
      <w:r w:rsidR="00333F3D">
        <w:rPr>
          <w:rFonts w:asciiTheme="minorHAnsi" w:hAnsiTheme="minorHAnsi" w:cstheme="minorHAnsi"/>
          <w:sz w:val="22"/>
        </w:rPr>
        <w:t>logging</w:t>
      </w:r>
      <w:r w:rsidR="0064502E">
        <w:rPr>
          <w:rFonts w:asciiTheme="minorHAnsi" w:hAnsiTheme="minorHAnsi" w:cstheme="minorHAnsi"/>
          <w:sz w:val="22"/>
        </w:rPr>
        <w:t xml:space="preserve"> on</w:t>
      </w:r>
      <w:r w:rsidR="00333F3D">
        <w:rPr>
          <w:rFonts w:asciiTheme="minorHAnsi" w:hAnsiTheme="minorHAnsi" w:cstheme="minorHAnsi"/>
          <w:sz w:val="22"/>
        </w:rPr>
        <w:t xml:space="preserve"> all radiological devices.</w:t>
      </w:r>
    </w:p>
    <w:sectPr w:rsidR="00983F4F" w:rsidRPr="00983F4F">
      <w:footerReference w:type="even" r:id="rId8"/>
      <w:pgSz w:w="12240" w:h="15840" w:code="1"/>
      <w:pgMar w:top="1008" w:right="1800" w:bottom="1440" w:left="965" w:header="720" w:footer="96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B00" w:rsidRDefault="00370B00">
      <w:r>
        <w:separator/>
      </w:r>
    </w:p>
  </w:endnote>
  <w:endnote w:type="continuationSeparator" w:id="0">
    <w:p w:rsidR="00370B00" w:rsidRDefault="00370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E60" w:rsidRDefault="009D79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61E60" w:rsidRDefault="00061E60">
    <w:pPr>
      <w:pStyle w:val="Footer"/>
    </w:pPr>
  </w:p>
  <w:p w:rsidR="00061E60" w:rsidRDefault="00061E6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B00" w:rsidRDefault="00370B00">
      <w:r>
        <w:separator/>
      </w:r>
    </w:p>
  </w:footnote>
  <w:footnote w:type="continuationSeparator" w:id="0">
    <w:p w:rsidR="00370B00" w:rsidRDefault="00370B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A0A57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8DA515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0E25E9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482CE9E"/>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E807D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D9EC6E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8A62CD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E10EDF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B04E050"/>
    <w:lvl w:ilvl="0">
      <w:start w:val="1"/>
      <w:numFmt w:val="decimal"/>
      <w:pStyle w:val="ListNumber"/>
      <w:lvlText w:val="%1."/>
      <w:lvlJc w:val="left"/>
      <w:pPr>
        <w:tabs>
          <w:tab w:val="num" w:pos="360"/>
        </w:tabs>
        <w:ind w:left="360" w:hanging="360"/>
      </w:pPr>
    </w:lvl>
  </w:abstractNum>
  <w:abstractNum w:abstractNumId="9">
    <w:nsid w:val="FFFFFF89"/>
    <w:multiLevelType w:val="singleLevel"/>
    <w:tmpl w:val="E65253E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5BA93154"/>
    <w:multiLevelType w:val="hybridMultilevel"/>
    <w:tmpl w:val="5506176E"/>
    <w:lvl w:ilvl="0" w:tplc="0409000F">
      <w:start w:val="1"/>
      <w:numFmt w:val="decimal"/>
      <w:lvlText w:val="%1."/>
      <w:lvlJc w:val="left"/>
      <w:pPr>
        <w:tabs>
          <w:tab w:val="num" w:pos="1555"/>
        </w:tabs>
        <w:ind w:left="1555" w:hanging="360"/>
      </w:pPr>
    </w:lvl>
    <w:lvl w:ilvl="1" w:tplc="04090019" w:tentative="1">
      <w:start w:val="1"/>
      <w:numFmt w:val="lowerLetter"/>
      <w:lvlText w:val="%2."/>
      <w:lvlJc w:val="left"/>
      <w:pPr>
        <w:tabs>
          <w:tab w:val="num" w:pos="2275"/>
        </w:tabs>
        <w:ind w:left="2275" w:hanging="360"/>
      </w:pPr>
    </w:lvl>
    <w:lvl w:ilvl="2" w:tplc="0409001B" w:tentative="1">
      <w:start w:val="1"/>
      <w:numFmt w:val="lowerRoman"/>
      <w:lvlText w:val="%3."/>
      <w:lvlJc w:val="right"/>
      <w:pPr>
        <w:tabs>
          <w:tab w:val="num" w:pos="2995"/>
        </w:tabs>
        <w:ind w:left="2995" w:hanging="180"/>
      </w:pPr>
    </w:lvl>
    <w:lvl w:ilvl="3" w:tplc="0409000F" w:tentative="1">
      <w:start w:val="1"/>
      <w:numFmt w:val="decimal"/>
      <w:lvlText w:val="%4."/>
      <w:lvlJc w:val="left"/>
      <w:pPr>
        <w:tabs>
          <w:tab w:val="num" w:pos="3715"/>
        </w:tabs>
        <w:ind w:left="3715" w:hanging="360"/>
      </w:pPr>
    </w:lvl>
    <w:lvl w:ilvl="4" w:tplc="04090019" w:tentative="1">
      <w:start w:val="1"/>
      <w:numFmt w:val="lowerLetter"/>
      <w:lvlText w:val="%5."/>
      <w:lvlJc w:val="left"/>
      <w:pPr>
        <w:tabs>
          <w:tab w:val="num" w:pos="4435"/>
        </w:tabs>
        <w:ind w:left="4435" w:hanging="360"/>
      </w:pPr>
    </w:lvl>
    <w:lvl w:ilvl="5" w:tplc="0409001B" w:tentative="1">
      <w:start w:val="1"/>
      <w:numFmt w:val="lowerRoman"/>
      <w:lvlText w:val="%6."/>
      <w:lvlJc w:val="right"/>
      <w:pPr>
        <w:tabs>
          <w:tab w:val="num" w:pos="5155"/>
        </w:tabs>
        <w:ind w:left="5155" w:hanging="180"/>
      </w:pPr>
    </w:lvl>
    <w:lvl w:ilvl="6" w:tplc="0409000F" w:tentative="1">
      <w:start w:val="1"/>
      <w:numFmt w:val="decimal"/>
      <w:lvlText w:val="%7."/>
      <w:lvlJc w:val="left"/>
      <w:pPr>
        <w:tabs>
          <w:tab w:val="num" w:pos="5875"/>
        </w:tabs>
        <w:ind w:left="5875" w:hanging="360"/>
      </w:pPr>
    </w:lvl>
    <w:lvl w:ilvl="7" w:tplc="04090019" w:tentative="1">
      <w:start w:val="1"/>
      <w:numFmt w:val="lowerLetter"/>
      <w:lvlText w:val="%8."/>
      <w:lvlJc w:val="left"/>
      <w:pPr>
        <w:tabs>
          <w:tab w:val="num" w:pos="6595"/>
        </w:tabs>
        <w:ind w:left="6595" w:hanging="360"/>
      </w:pPr>
    </w:lvl>
    <w:lvl w:ilvl="8" w:tplc="0409001B" w:tentative="1">
      <w:start w:val="1"/>
      <w:numFmt w:val="lowerRoman"/>
      <w:lvlText w:val="%9."/>
      <w:lvlJc w:val="right"/>
      <w:pPr>
        <w:tabs>
          <w:tab w:val="num" w:pos="7315"/>
        </w:tabs>
        <w:ind w:left="7315" w:hanging="180"/>
      </w:pPr>
    </w:lvl>
  </w:abstractNum>
  <w:abstractNum w:abstractNumId="11">
    <w:nsid w:val="78325FA7"/>
    <w:multiLevelType w:val="hybridMultilevel"/>
    <w:tmpl w:val="BD5E54F6"/>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attachedTemplate r:id="rId1"/>
  <w:defaultTabStop w:val="720"/>
  <w:drawingGridHorizontalSpacing w:val="187"/>
  <w:drawingGridVerticalSpacing w:val="187"/>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8EA"/>
    <w:rsid w:val="00061E60"/>
    <w:rsid w:val="000C54B7"/>
    <w:rsid w:val="00220300"/>
    <w:rsid w:val="00333F3D"/>
    <w:rsid w:val="00370B00"/>
    <w:rsid w:val="003E3F95"/>
    <w:rsid w:val="00534010"/>
    <w:rsid w:val="006428EA"/>
    <w:rsid w:val="0064502E"/>
    <w:rsid w:val="00841665"/>
    <w:rsid w:val="008E431F"/>
    <w:rsid w:val="00934D1C"/>
    <w:rsid w:val="00980637"/>
    <w:rsid w:val="00983F4F"/>
    <w:rsid w:val="009D79EC"/>
    <w:rsid w:val="00AB271A"/>
    <w:rsid w:val="00AB3205"/>
    <w:rsid w:val="00F12FAC"/>
    <w:rsid w:val="00FA6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835"/>
    </w:pPr>
    <w:rPr>
      <w:rFonts w:ascii="Arial" w:hAnsi="Arial"/>
      <w:spacing w:val="-5"/>
    </w:rPr>
  </w:style>
  <w:style w:type="paragraph" w:styleId="Heading1">
    <w:name w:val="heading 1"/>
    <w:basedOn w:val="Normal"/>
    <w:next w:val="BodyText"/>
    <w:qFormat/>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pPr>
      <w:keepNext/>
      <w:keepLines/>
      <w:spacing w:line="180" w:lineRule="atLeast"/>
      <w:ind w:left="1195"/>
      <w:outlineLvl w:val="2"/>
    </w:pPr>
    <w:rPr>
      <w:rFonts w:ascii="Arial Black" w:hAnsi="Arial Black"/>
      <w:kern w:val="28"/>
    </w:rPr>
  </w:style>
  <w:style w:type="paragraph" w:styleId="Heading4">
    <w:name w:val="heading 4"/>
    <w:basedOn w:val="Normal"/>
    <w:next w:val="BodyText"/>
    <w:qFormat/>
    <w:pPr>
      <w:keepNext/>
      <w:keepLines/>
      <w:spacing w:line="180" w:lineRule="atLeast"/>
      <w:ind w:left="1555"/>
      <w:outlineLvl w:val="3"/>
    </w:pPr>
    <w:rPr>
      <w:rFonts w:ascii="Arial Black" w:hAnsi="Arial Black"/>
      <w:spacing w:val="-2"/>
      <w:kern w:val="28"/>
      <w:sz w:val="18"/>
    </w:rPr>
  </w:style>
  <w:style w:type="paragraph" w:styleId="Heading5">
    <w:name w:val="heading 5"/>
    <w:basedOn w:val="Normal"/>
    <w:next w:val="BodyText"/>
    <w:qFormat/>
    <w:pPr>
      <w:keepNext/>
      <w:keepLines/>
      <w:spacing w:line="180" w:lineRule="atLeast"/>
      <w:ind w:left="1915"/>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20" w:line="180" w:lineRule="atLeast"/>
      <w:jc w:val="both"/>
    </w:pPr>
  </w:style>
  <w:style w:type="paragraph" w:styleId="Closing">
    <w:name w:val="Closing"/>
    <w:basedOn w:val="Normal"/>
    <w:semiHidden/>
    <w:pPr>
      <w:keepNext/>
      <w:spacing w:line="220" w:lineRule="atLeast"/>
    </w:pPr>
  </w:style>
  <w:style w:type="paragraph" w:customStyle="1" w:styleId="CompanyName">
    <w:name w:val="Company Name"/>
    <w:basedOn w:val="Normal"/>
    <w:pPr>
      <w:keepLines/>
      <w:shd w:val="solid" w:color="auto" w:fill="auto"/>
      <w:spacing w:line="320" w:lineRule="exact"/>
      <w:ind w:left="0"/>
    </w:pPr>
    <w:rPr>
      <w:rFonts w:ascii="Arial Black" w:hAnsi="Arial Black"/>
      <w:color w:val="FFFFFF"/>
      <w:spacing w:val="-15"/>
      <w:sz w:val="32"/>
    </w:rPr>
  </w:style>
  <w:style w:type="paragraph" w:customStyle="1" w:styleId="DocumentLabel">
    <w:name w:val="Document Label"/>
    <w:basedOn w:val="Normal"/>
    <w:next w:val="Normal"/>
    <w:pPr>
      <w:keepNext/>
      <w:keepLines/>
      <w:spacing w:before="400" w:after="120" w:line="240" w:lineRule="atLeast"/>
      <w:ind w:left="0"/>
    </w:pPr>
    <w:rPr>
      <w:rFonts w:ascii="Arial Black" w:hAnsi="Arial Black"/>
      <w:kern w:val="28"/>
      <w:sz w:val="96"/>
    </w:rPr>
  </w:style>
  <w:style w:type="paragraph" w:customStyle="1" w:styleId="Enclosure">
    <w:name w:val="Enclosure"/>
    <w:basedOn w:val="BodyText"/>
    <w:next w:val="Normal"/>
    <w:pPr>
      <w:keepLines/>
      <w:spacing w:before="220"/>
      <w:jc w:val="left"/>
    </w:p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spacing w:before="600"/>
    </w:pPr>
    <w:rPr>
      <w:sz w:val="18"/>
    </w:rPr>
  </w:style>
  <w:style w:type="paragraph" w:styleId="Header">
    <w:name w:val="header"/>
    <w:basedOn w:val="HeaderBase"/>
    <w:semiHidden/>
    <w:pPr>
      <w:spacing w:after="600"/>
    </w:pPr>
  </w:style>
  <w:style w:type="paragraph" w:customStyle="1" w:styleId="HeadingBase">
    <w:name w:val="Heading Base"/>
    <w:basedOn w:val="BodyText"/>
    <w:next w:val="BodyText"/>
    <w:pPr>
      <w:keepNext/>
      <w:keepLines/>
      <w:spacing w:after="0"/>
      <w:jc w:val="left"/>
    </w:pPr>
    <w:rPr>
      <w:rFonts w:ascii="Arial Black" w:hAnsi="Arial Black"/>
      <w:spacing w:val="-10"/>
      <w:kern w:val="28"/>
    </w:rPr>
  </w:style>
  <w:style w:type="paragraph" w:styleId="MessageHeader">
    <w:name w:val="Message Header"/>
    <w:basedOn w:val="BodyText"/>
    <w:semiHidden/>
    <w:pPr>
      <w:keepLines/>
      <w:spacing w:after="120"/>
      <w:ind w:left="1555" w:hanging="720"/>
      <w:jc w:val="left"/>
    </w:pPr>
  </w:style>
  <w:style w:type="paragraph" w:customStyle="1" w:styleId="MessageHeaderFirst">
    <w:name w:val="Message Header First"/>
    <w:basedOn w:val="MessageHeader"/>
    <w:next w:val="MessageHeader"/>
    <w:pPr>
      <w:spacing w:before="220"/>
    </w:pPr>
  </w:style>
  <w:style w:type="character" w:customStyle="1" w:styleId="MessageHeaderLabel">
    <w:name w:val="Message Header Label"/>
    <w:rPr>
      <w:rFonts w:ascii="Arial Black" w:hAnsi="Arial Black"/>
      <w:spacing w:val="-10"/>
      <w:sz w:val="18"/>
    </w:rPr>
  </w:style>
  <w:style w:type="paragraph" w:customStyle="1" w:styleId="MessageHeaderLast">
    <w:name w:val="Message Header Last"/>
    <w:basedOn w:val="MessageHeader"/>
    <w:next w:val="BodyText"/>
    <w:pPr>
      <w:pBdr>
        <w:bottom w:val="single" w:sz="6" w:space="15" w:color="auto"/>
      </w:pBdr>
      <w:spacing w:after="320"/>
    </w:pPr>
  </w:style>
  <w:style w:type="paragraph" w:styleId="NormalIndent">
    <w:name w:val="Normal Indent"/>
    <w:basedOn w:val="Normal"/>
    <w:semiHidden/>
    <w:pPr>
      <w:ind w:left="1555"/>
    </w:pPr>
  </w:style>
  <w:style w:type="character" w:styleId="PageNumber">
    <w:name w:val="page number"/>
    <w:semiHidden/>
    <w:rPr>
      <w:sz w:val="18"/>
    </w:rPr>
  </w:style>
  <w:style w:type="paragraph" w:customStyle="1" w:styleId="ReturnAddress">
    <w:name w:val="Return Address"/>
    <w:basedOn w:val="Normal"/>
    <w:pPr>
      <w:keepLines/>
      <w:spacing w:line="200" w:lineRule="atLeast"/>
      <w:ind w:left="0"/>
    </w:pPr>
    <w:rPr>
      <w:spacing w:val="-2"/>
      <w:sz w:val="16"/>
    </w:rPr>
  </w:style>
  <w:style w:type="paragraph" w:styleId="Signature">
    <w:name w:val="Signature"/>
    <w:basedOn w:val="BodyText"/>
    <w:semiHidden/>
    <w:pPr>
      <w:keepNext/>
      <w:keepLines/>
      <w:spacing w:before="660" w:after="0"/>
    </w:pPr>
  </w:style>
  <w:style w:type="paragraph" w:customStyle="1" w:styleId="SignatureJobTitle">
    <w:name w:val="Signature Job Title"/>
    <w:basedOn w:val="Signature"/>
    <w:next w:val="Normal"/>
    <w:pPr>
      <w:spacing w:before="0"/>
      <w:jc w:val="left"/>
    </w:pPr>
  </w:style>
  <w:style w:type="paragraph" w:customStyle="1" w:styleId="SignatureName">
    <w:name w:val="Signature Name"/>
    <w:basedOn w:val="Signature"/>
    <w:next w:val="SignatureJobTitle"/>
    <w:pPr>
      <w:spacing w:before="720"/>
      <w:jc w:val="left"/>
    </w:pPr>
  </w:style>
  <w:style w:type="paragraph" w:styleId="BalloonText">
    <w:name w:val="Balloon Text"/>
    <w:basedOn w:val="Normal"/>
    <w:link w:val="BalloonTextChar"/>
    <w:uiPriority w:val="99"/>
    <w:semiHidden/>
    <w:unhideWhenUsed/>
    <w:rsid w:val="006428EA"/>
    <w:rPr>
      <w:rFonts w:ascii="Tahoma" w:hAnsi="Tahoma" w:cs="Tahoma"/>
      <w:sz w:val="16"/>
      <w:szCs w:val="16"/>
    </w:rPr>
  </w:style>
  <w:style w:type="paragraph" w:styleId="List">
    <w:name w:val="List"/>
    <w:basedOn w:val="Normal"/>
    <w:semiHidden/>
    <w:pPr>
      <w:ind w:left="1195" w:hanging="360"/>
    </w:pPr>
  </w:style>
  <w:style w:type="paragraph" w:styleId="List2">
    <w:name w:val="List 2"/>
    <w:basedOn w:val="Normal"/>
    <w:semiHidden/>
    <w:pPr>
      <w:ind w:left="1555" w:hanging="360"/>
    </w:pPr>
  </w:style>
  <w:style w:type="paragraph" w:styleId="List3">
    <w:name w:val="List 3"/>
    <w:basedOn w:val="Normal"/>
    <w:semiHidden/>
    <w:pPr>
      <w:ind w:left="1915" w:hanging="360"/>
    </w:pPr>
  </w:style>
  <w:style w:type="paragraph" w:styleId="List4">
    <w:name w:val="List 4"/>
    <w:basedOn w:val="Normal"/>
    <w:semiHidden/>
    <w:pPr>
      <w:ind w:left="2275" w:hanging="360"/>
    </w:pPr>
  </w:style>
  <w:style w:type="paragraph" w:styleId="List5">
    <w:name w:val="List 5"/>
    <w:basedOn w:val="Normal"/>
    <w:semiHidden/>
    <w:pPr>
      <w:ind w:left="2635" w:hanging="360"/>
    </w:pPr>
  </w:style>
  <w:style w:type="paragraph" w:styleId="ListBullet">
    <w:name w:val="List Bullet"/>
    <w:basedOn w:val="Normal"/>
    <w:autoRedefine/>
    <w:semiHidden/>
    <w:pPr>
      <w:numPr>
        <w:numId w:val="3"/>
      </w:numPr>
      <w:ind w:left="1195"/>
    </w:pPr>
  </w:style>
  <w:style w:type="paragraph" w:styleId="ListBullet2">
    <w:name w:val="List Bullet 2"/>
    <w:basedOn w:val="Normal"/>
    <w:autoRedefine/>
    <w:semiHidden/>
    <w:pPr>
      <w:numPr>
        <w:numId w:val="4"/>
      </w:numPr>
      <w:ind w:left="1555"/>
    </w:pPr>
  </w:style>
  <w:style w:type="paragraph" w:styleId="ListBullet3">
    <w:name w:val="List Bullet 3"/>
    <w:basedOn w:val="Normal"/>
    <w:autoRedefine/>
    <w:semiHidden/>
    <w:pPr>
      <w:numPr>
        <w:numId w:val="5"/>
      </w:numPr>
      <w:ind w:left="1915"/>
    </w:pPr>
  </w:style>
  <w:style w:type="paragraph" w:styleId="ListBullet4">
    <w:name w:val="List Bullet 4"/>
    <w:basedOn w:val="Normal"/>
    <w:autoRedefine/>
    <w:semiHidden/>
    <w:pPr>
      <w:numPr>
        <w:numId w:val="6"/>
      </w:numPr>
      <w:ind w:left="2275"/>
    </w:pPr>
  </w:style>
  <w:style w:type="paragraph" w:styleId="ListBullet5">
    <w:name w:val="List Bullet 5"/>
    <w:basedOn w:val="Normal"/>
    <w:autoRedefine/>
    <w:semiHidden/>
    <w:pPr>
      <w:numPr>
        <w:numId w:val="7"/>
      </w:numPr>
      <w:ind w:left="2635"/>
    </w:pPr>
  </w:style>
  <w:style w:type="paragraph" w:styleId="ListContinue">
    <w:name w:val="List Continue"/>
    <w:basedOn w:val="Normal"/>
    <w:semiHidden/>
    <w:pPr>
      <w:spacing w:after="120"/>
      <w:ind w:left="1195"/>
    </w:pPr>
  </w:style>
  <w:style w:type="paragraph" w:styleId="ListContinue2">
    <w:name w:val="List Continue 2"/>
    <w:basedOn w:val="Normal"/>
    <w:semiHidden/>
    <w:pPr>
      <w:spacing w:after="120"/>
      <w:ind w:left="1555"/>
    </w:pPr>
  </w:style>
  <w:style w:type="paragraph" w:styleId="ListContinue3">
    <w:name w:val="List Continue 3"/>
    <w:basedOn w:val="Normal"/>
    <w:semiHidden/>
    <w:pPr>
      <w:spacing w:after="120"/>
      <w:ind w:left="1915"/>
    </w:pPr>
  </w:style>
  <w:style w:type="paragraph" w:styleId="ListContinue4">
    <w:name w:val="List Continue 4"/>
    <w:basedOn w:val="Normal"/>
    <w:semiHidden/>
    <w:pPr>
      <w:spacing w:after="120"/>
      <w:ind w:left="2275"/>
    </w:pPr>
  </w:style>
  <w:style w:type="paragraph" w:styleId="ListContinue5">
    <w:name w:val="List Continue 5"/>
    <w:basedOn w:val="Normal"/>
    <w:semiHidden/>
    <w:pPr>
      <w:spacing w:after="120"/>
      <w:ind w:left="2635"/>
    </w:pPr>
  </w:style>
  <w:style w:type="paragraph" w:styleId="ListNumber">
    <w:name w:val="List Number"/>
    <w:basedOn w:val="Normal"/>
    <w:semiHidden/>
    <w:pPr>
      <w:numPr>
        <w:numId w:val="8"/>
      </w:numPr>
      <w:ind w:left="1195"/>
    </w:pPr>
  </w:style>
  <w:style w:type="paragraph" w:styleId="ListNumber2">
    <w:name w:val="List Number 2"/>
    <w:basedOn w:val="Normal"/>
    <w:semiHidden/>
    <w:pPr>
      <w:numPr>
        <w:numId w:val="9"/>
      </w:numPr>
      <w:ind w:left="1555"/>
    </w:pPr>
  </w:style>
  <w:style w:type="paragraph" w:styleId="ListNumber3">
    <w:name w:val="List Number 3"/>
    <w:basedOn w:val="Normal"/>
    <w:semiHidden/>
    <w:pPr>
      <w:numPr>
        <w:numId w:val="10"/>
      </w:numPr>
      <w:ind w:left="1915"/>
    </w:pPr>
  </w:style>
  <w:style w:type="paragraph" w:styleId="ListNumber4">
    <w:name w:val="List Number 4"/>
    <w:basedOn w:val="Normal"/>
    <w:semiHidden/>
    <w:pPr>
      <w:numPr>
        <w:numId w:val="11"/>
      </w:numPr>
      <w:ind w:left="2275"/>
    </w:pPr>
  </w:style>
  <w:style w:type="paragraph" w:styleId="ListNumber5">
    <w:name w:val="List Number 5"/>
    <w:basedOn w:val="Normal"/>
    <w:semiHidden/>
    <w:pPr>
      <w:numPr>
        <w:numId w:val="12"/>
      </w:numPr>
      <w:ind w:left="2635"/>
    </w:pPr>
  </w:style>
  <w:style w:type="character" w:customStyle="1" w:styleId="BalloonTextChar">
    <w:name w:val="Balloon Text Char"/>
    <w:basedOn w:val="DefaultParagraphFont"/>
    <w:link w:val="BalloonText"/>
    <w:uiPriority w:val="99"/>
    <w:semiHidden/>
    <w:rsid w:val="006428EA"/>
    <w:rPr>
      <w:rFonts w:ascii="Tahoma" w:hAnsi="Tahoma" w:cs="Tahoma"/>
      <w:spacing w:val="-5"/>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835"/>
    </w:pPr>
    <w:rPr>
      <w:rFonts w:ascii="Arial" w:hAnsi="Arial"/>
      <w:spacing w:val="-5"/>
    </w:rPr>
  </w:style>
  <w:style w:type="paragraph" w:styleId="Heading1">
    <w:name w:val="heading 1"/>
    <w:basedOn w:val="Normal"/>
    <w:next w:val="BodyText"/>
    <w:qFormat/>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pPr>
      <w:keepNext/>
      <w:keepLines/>
      <w:spacing w:line="180" w:lineRule="atLeast"/>
      <w:ind w:left="1195"/>
      <w:outlineLvl w:val="2"/>
    </w:pPr>
    <w:rPr>
      <w:rFonts w:ascii="Arial Black" w:hAnsi="Arial Black"/>
      <w:kern w:val="28"/>
    </w:rPr>
  </w:style>
  <w:style w:type="paragraph" w:styleId="Heading4">
    <w:name w:val="heading 4"/>
    <w:basedOn w:val="Normal"/>
    <w:next w:val="BodyText"/>
    <w:qFormat/>
    <w:pPr>
      <w:keepNext/>
      <w:keepLines/>
      <w:spacing w:line="180" w:lineRule="atLeast"/>
      <w:ind w:left="1555"/>
      <w:outlineLvl w:val="3"/>
    </w:pPr>
    <w:rPr>
      <w:rFonts w:ascii="Arial Black" w:hAnsi="Arial Black"/>
      <w:spacing w:val="-2"/>
      <w:kern w:val="28"/>
      <w:sz w:val="18"/>
    </w:rPr>
  </w:style>
  <w:style w:type="paragraph" w:styleId="Heading5">
    <w:name w:val="heading 5"/>
    <w:basedOn w:val="Normal"/>
    <w:next w:val="BodyText"/>
    <w:qFormat/>
    <w:pPr>
      <w:keepNext/>
      <w:keepLines/>
      <w:spacing w:line="180" w:lineRule="atLeast"/>
      <w:ind w:left="1915"/>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20" w:line="180" w:lineRule="atLeast"/>
      <w:jc w:val="both"/>
    </w:pPr>
  </w:style>
  <w:style w:type="paragraph" w:styleId="Closing">
    <w:name w:val="Closing"/>
    <w:basedOn w:val="Normal"/>
    <w:semiHidden/>
    <w:pPr>
      <w:keepNext/>
      <w:spacing w:line="220" w:lineRule="atLeast"/>
    </w:pPr>
  </w:style>
  <w:style w:type="paragraph" w:customStyle="1" w:styleId="CompanyName">
    <w:name w:val="Company Name"/>
    <w:basedOn w:val="Normal"/>
    <w:pPr>
      <w:keepLines/>
      <w:shd w:val="solid" w:color="auto" w:fill="auto"/>
      <w:spacing w:line="320" w:lineRule="exact"/>
      <w:ind w:left="0"/>
    </w:pPr>
    <w:rPr>
      <w:rFonts w:ascii="Arial Black" w:hAnsi="Arial Black"/>
      <w:color w:val="FFFFFF"/>
      <w:spacing w:val="-15"/>
      <w:sz w:val="32"/>
    </w:rPr>
  </w:style>
  <w:style w:type="paragraph" w:customStyle="1" w:styleId="DocumentLabel">
    <w:name w:val="Document Label"/>
    <w:basedOn w:val="Normal"/>
    <w:next w:val="Normal"/>
    <w:pPr>
      <w:keepNext/>
      <w:keepLines/>
      <w:spacing w:before="400" w:after="120" w:line="240" w:lineRule="atLeast"/>
      <w:ind w:left="0"/>
    </w:pPr>
    <w:rPr>
      <w:rFonts w:ascii="Arial Black" w:hAnsi="Arial Black"/>
      <w:kern w:val="28"/>
      <w:sz w:val="96"/>
    </w:rPr>
  </w:style>
  <w:style w:type="paragraph" w:customStyle="1" w:styleId="Enclosure">
    <w:name w:val="Enclosure"/>
    <w:basedOn w:val="BodyText"/>
    <w:next w:val="Normal"/>
    <w:pPr>
      <w:keepLines/>
      <w:spacing w:before="220"/>
      <w:jc w:val="left"/>
    </w:p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spacing w:before="600"/>
    </w:pPr>
    <w:rPr>
      <w:sz w:val="18"/>
    </w:rPr>
  </w:style>
  <w:style w:type="paragraph" w:styleId="Header">
    <w:name w:val="header"/>
    <w:basedOn w:val="HeaderBase"/>
    <w:semiHidden/>
    <w:pPr>
      <w:spacing w:after="600"/>
    </w:pPr>
  </w:style>
  <w:style w:type="paragraph" w:customStyle="1" w:styleId="HeadingBase">
    <w:name w:val="Heading Base"/>
    <w:basedOn w:val="BodyText"/>
    <w:next w:val="BodyText"/>
    <w:pPr>
      <w:keepNext/>
      <w:keepLines/>
      <w:spacing w:after="0"/>
      <w:jc w:val="left"/>
    </w:pPr>
    <w:rPr>
      <w:rFonts w:ascii="Arial Black" w:hAnsi="Arial Black"/>
      <w:spacing w:val="-10"/>
      <w:kern w:val="28"/>
    </w:rPr>
  </w:style>
  <w:style w:type="paragraph" w:styleId="MessageHeader">
    <w:name w:val="Message Header"/>
    <w:basedOn w:val="BodyText"/>
    <w:semiHidden/>
    <w:pPr>
      <w:keepLines/>
      <w:spacing w:after="120"/>
      <w:ind w:left="1555" w:hanging="720"/>
      <w:jc w:val="left"/>
    </w:pPr>
  </w:style>
  <w:style w:type="paragraph" w:customStyle="1" w:styleId="MessageHeaderFirst">
    <w:name w:val="Message Header First"/>
    <w:basedOn w:val="MessageHeader"/>
    <w:next w:val="MessageHeader"/>
    <w:pPr>
      <w:spacing w:before="220"/>
    </w:pPr>
  </w:style>
  <w:style w:type="character" w:customStyle="1" w:styleId="MessageHeaderLabel">
    <w:name w:val="Message Header Label"/>
    <w:rPr>
      <w:rFonts w:ascii="Arial Black" w:hAnsi="Arial Black"/>
      <w:spacing w:val="-10"/>
      <w:sz w:val="18"/>
    </w:rPr>
  </w:style>
  <w:style w:type="paragraph" w:customStyle="1" w:styleId="MessageHeaderLast">
    <w:name w:val="Message Header Last"/>
    <w:basedOn w:val="MessageHeader"/>
    <w:next w:val="BodyText"/>
    <w:pPr>
      <w:pBdr>
        <w:bottom w:val="single" w:sz="6" w:space="15" w:color="auto"/>
      </w:pBdr>
      <w:spacing w:after="320"/>
    </w:pPr>
  </w:style>
  <w:style w:type="paragraph" w:styleId="NormalIndent">
    <w:name w:val="Normal Indent"/>
    <w:basedOn w:val="Normal"/>
    <w:semiHidden/>
    <w:pPr>
      <w:ind w:left="1555"/>
    </w:pPr>
  </w:style>
  <w:style w:type="character" w:styleId="PageNumber">
    <w:name w:val="page number"/>
    <w:semiHidden/>
    <w:rPr>
      <w:sz w:val="18"/>
    </w:rPr>
  </w:style>
  <w:style w:type="paragraph" w:customStyle="1" w:styleId="ReturnAddress">
    <w:name w:val="Return Address"/>
    <w:basedOn w:val="Normal"/>
    <w:pPr>
      <w:keepLines/>
      <w:spacing w:line="200" w:lineRule="atLeast"/>
      <w:ind w:left="0"/>
    </w:pPr>
    <w:rPr>
      <w:spacing w:val="-2"/>
      <w:sz w:val="16"/>
    </w:rPr>
  </w:style>
  <w:style w:type="paragraph" w:styleId="Signature">
    <w:name w:val="Signature"/>
    <w:basedOn w:val="BodyText"/>
    <w:semiHidden/>
    <w:pPr>
      <w:keepNext/>
      <w:keepLines/>
      <w:spacing w:before="660" w:after="0"/>
    </w:pPr>
  </w:style>
  <w:style w:type="paragraph" w:customStyle="1" w:styleId="SignatureJobTitle">
    <w:name w:val="Signature Job Title"/>
    <w:basedOn w:val="Signature"/>
    <w:next w:val="Normal"/>
    <w:pPr>
      <w:spacing w:before="0"/>
      <w:jc w:val="left"/>
    </w:pPr>
  </w:style>
  <w:style w:type="paragraph" w:customStyle="1" w:styleId="SignatureName">
    <w:name w:val="Signature Name"/>
    <w:basedOn w:val="Signature"/>
    <w:next w:val="SignatureJobTitle"/>
    <w:pPr>
      <w:spacing w:before="720"/>
      <w:jc w:val="left"/>
    </w:pPr>
  </w:style>
  <w:style w:type="paragraph" w:styleId="BalloonText">
    <w:name w:val="Balloon Text"/>
    <w:basedOn w:val="Normal"/>
    <w:link w:val="BalloonTextChar"/>
    <w:uiPriority w:val="99"/>
    <w:semiHidden/>
    <w:unhideWhenUsed/>
    <w:rsid w:val="006428EA"/>
    <w:rPr>
      <w:rFonts w:ascii="Tahoma" w:hAnsi="Tahoma" w:cs="Tahoma"/>
      <w:sz w:val="16"/>
      <w:szCs w:val="16"/>
    </w:rPr>
  </w:style>
  <w:style w:type="paragraph" w:styleId="List">
    <w:name w:val="List"/>
    <w:basedOn w:val="Normal"/>
    <w:semiHidden/>
    <w:pPr>
      <w:ind w:left="1195" w:hanging="360"/>
    </w:pPr>
  </w:style>
  <w:style w:type="paragraph" w:styleId="List2">
    <w:name w:val="List 2"/>
    <w:basedOn w:val="Normal"/>
    <w:semiHidden/>
    <w:pPr>
      <w:ind w:left="1555" w:hanging="360"/>
    </w:pPr>
  </w:style>
  <w:style w:type="paragraph" w:styleId="List3">
    <w:name w:val="List 3"/>
    <w:basedOn w:val="Normal"/>
    <w:semiHidden/>
    <w:pPr>
      <w:ind w:left="1915" w:hanging="360"/>
    </w:pPr>
  </w:style>
  <w:style w:type="paragraph" w:styleId="List4">
    <w:name w:val="List 4"/>
    <w:basedOn w:val="Normal"/>
    <w:semiHidden/>
    <w:pPr>
      <w:ind w:left="2275" w:hanging="360"/>
    </w:pPr>
  </w:style>
  <w:style w:type="paragraph" w:styleId="List5">
    <w:name w:val="List 5"/>
    <w:basedOn w:val="Normal"/>
    <w:semiHidden/>
    <w:pPr>
      <w:ind w:left="2635" w:hanging="360"/>
    </w:pPr>
  </w:style>
  <w:style w:type="paragraph" w:styleId="ListBullet">
    <w:name w:val="List Bullet"/>
    <w:basedOn w:val="Normal"/>
    <w:autoRedefine/>
    <w:semiHidden/>
    <w:pPr>
      <w:numPr>
        <w:numId w:val="3"/>
      </w:numPr>
      <w:ind w:left="1195"/>
    </w:pPr>
  </w:style>
  <w:style w:type="paragraph" w:styleId="ListBullet2">
    <w:name w:val="List Bullet 2"/>
    <w:basedOn w:val="Normal"/>
    <w:autoRedefine/>
    <w:semiHidden/>
    <w:pPr>
      <w:numPr>
        <w:numId w:val="4"/>
      </w:numPr>
      <w:ind w:left="1555"/>
    </w:pPr>
  </w:style>
  <w:style w:type="paragraph" w:styleId="ListBullet3">
    <w:name w:val="List Bullet 3"/>
    <w:basedOn w:val="Normal"/>
    <w:autoRedefine/>
    <w:semiHidden/>
    <w:pPr>
      <w:numPr>
        <w:numId w:val="5"/>
      </w:numPr>
      <w:ind w:left="1915"/>
    </w:pPr>
  </w:style>
  <w:style w:type="paragraph" w:styleId="ListBullet4">
    <w:name w:val="List Bullet 4"/>
    <w:basedOn w:val="Normal"/>
    <w:autoRedefine/>
    <w:semiHidden/>
    <w:pPr>
      <w:numPr>
        <w:numId w:val="6"/>
      </w:numPr>
      <w:ind w:left="2275"/>
    </w:pPr>
  </w:style>
  <w:style w:type="paragraph" w:styleId="ListBullet5">
    <w:name w:val="List Bullet 5"/>
    <w:basedOn w:val="Normal"/>
    <w:autoRedefine/>
    <w:semiHidden/>
    <w:pPr>
      <w:numPr>
        <w:numId w:val="7"/>
      </w:numPr>
      <w:ind w:left="2635"/>
    </w:pPr>
  </w:style>
  <w:style w:type="paragraph" w:styleId="ListContinue">
    <w:name w:val="List Continue"/>
    <w:basedOn w:val="Normal"/>
    <w:semiHidden/>
    <w:pPr>
      <w:spacing w:after="120"/>
      <w:ind w:left="1195"/>
    </w:pPr>
  </w:style>
  <w:style w:type="paragraph" w:styleId="ListContinue2">
    <w:name w:val="List Continue 2"/>
    <w:basedOn w:val="Normal"/>
    <w:semiHidden/>
    <w:pPr>
      <w:spacing w:after="120"/>
      <w:ind w:left="1555"/>
    </w:pPr>
  </w:style>
  <w:style w:type="paragraph" w:styleId="ListContinue3">
    <w:name w:val="List Continue 3"/>
    <w:basedOn w:val="Normal"/>
    <w:semiHidden/>
    <w:pPr>
      <w:spacing w:after="120"/>
      <w:ind w:left="1915"/>
    </w:pPr>
  </w:style>
  <w:style w:type="paragraph" w:styleId="ListContinue4">
    <w:name w:val="List Continue 4"/>
    <w:basedOn w:val="Normal"/>
    <w:semiHidden/>
    <w:pPr>
      <w:spacing w:after="120"/>
      <w:ind w:left="2275"/>
    </w:pPr>
  </w:style>
  <w:style w:type="paragraph" w:styleId="ListContinue5">
    <w:name w:val="List Continue 5"/>
    <w:basedOn w:val="Normal"/>
    <w:semiHidden/>
    <w:pPr>
      <w:spacing w:after="120"/>
      <w:ind w:left="2635"/>
    </w:pPr>
  </w:style>
  <w:style w:type="paragraph" w:styleId="ListNumber">
    <w:name w:val="List Number"/>
    <w:basedOn w:val="Normal"/>
    <w:semiHidden/>
    <w:pPr>
      <w:numPr>
        <w:numId w:val="8"/>
      </w:numPr>
      <w:ind w:left="1195"/>
    </w:pPr>
  </w:style>
  <w:style w:type="paragraph" w:styleId="ListNumber2">
    <w:name w:val="List Number 2"/>
    <w:basedOn w:val="Normal"/>
    <w:semiHidden/>
    <w:pPr>
      <w:numPr>
        <w:numId w:val="9"/>
      </w:numPr>
      <w:ind w:left="1555"/>
    </w:pPr>
  </w:style>
  <w:style w:type="paragraph" w:styleId="ListNumber3">
    <w:name w:val="List Number 3"/>
    <w:basedOn w:val="Normal"/>
    <w:semiHidden/>
    <w:pPr>
      <w:numPr>
        <w:numId w:val="10"/>
      </w:numPr>
      <w:ind w:left="1915"/>
    </w:pPr>
  </w:style>
  <w:style w:type="paragraph" w:styleId="ListNumber4">
    <w:name w:val="List Number 4"/>
    <w:basedOn w:val="Normal"/>
    <w:semiHidden/>
    <w:pPr>
      <w:numPr>
        <w:numId w:val="11"/>
      </w:numPr>
      <w:ind w:left="2275"/>
    </w:pPr>
  </w:style>
  <w:style w:type="paragraph" w:styleId="ListNumber5">
    <w:name w:val="List Number 5"/>
    <w:basedOn w:val="Normal"/>
    <w:semiHidden/>
    <w:pPr>
      <w:numPr>
        <w:numId w:val="12"/>
      </w:numPr>
      <w:ind w:left="2635"/>
    </w:pPr>
  </w:style>
  <w:style w:type="character" w:customStyle="1" w:styleId="BalloonTextChar">
    <w:name w:val="Balloon Text Char"/>
    <w:basedOn w:val="DefaultParagraphFont"/>
    <w:link w:val="BalloonText"/>
    <w:uiPriority w:val="99"/>
    <w:semiHidden/>
    <w:rsid w:val="006428EA"/>
    <w:rPr>
      <w:rFonts w:ascii="Tahoma" w:hAnsi="Tahoma" w:cs="Tahoma"/>
      <w:spacing w:val="-5"/>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AppData\Roaming\Microsoft\Templates\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Memo.dot</Template>
  <TotalTime>99</TotalTime>
  <Pages>1</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Plasmeier</dc:creator>
  <cp:lastModifiedBy>Michael Plasmeier</cp:lastModifiedBy>
  <cp:revision>13</cp:revision>
  <cp:lastPrinted>2012-02-19T19:17:00Z</cp:lastPrinted>
  <dcterms:created xsi:type="dcterms:W3CDTF">2012-02-14T02:55:00Z</dcterms:created>
  <dcterms:modified xsi:type="dcterms:W3CDTF">2012-02-19T19:17:00Z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TC010129271033</vt:lpwstr>
  </property>
</Properties>
</file>