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9D" w:rsidRDefault="001B62D9" w:rsidP="001B62D9">
      <w:pPr>
        <w:pStyle w:val="Title"/>
        <w:spacing w:after="0"/>
      </w:pPr>
      <w:r>
        <w:t xml:space="preserve">United States v. </w:t>
      </w:r>
      <w:proofErr w:type="spellStart"/>
      <w:r>
        <w:t>Botwin</w:t>
      </w:r>
      <w:proofErr w:type="spellEnd"/>
    </w:p>
    <w:p w:rsidR="001B62D9" w:rsidRDefault="001B62D9" w:rsidP="001B62D9">
      <w:pPr>
        <w:pStyle w:val="Subtitle"/>
      </w:pPr>
      <w:r>
        <w:t>Michael Plasmeier</w:t>
      </w:r>
    </w:p>
    <w:p w:rsidR="001B62D9" w:rsidRDefault="001B62D9" w:rsidP="001B62D9"/>
    <w:p w:rsidR="001B62D9" w:rsidRDefault="00937EF3" w:rsidP="001B62D9">
      <w:r>
        <w:t>Held: The request to access data stored by a 3</w:t>
      </w:r>
      <w:r w:rsidRPr="00937EF3">
        <w:rPr>
          <w:vertAlign w:val="superscript"/>
        </w:rPr>
        <w:t>rd</w:t>
      </w:r>
      <w:r>
        <w:t xml:space="preserve"> party on the behalf of a user constitutes a search under the Fourth Amendment.</w:t>
      </w:r>
    </w:p>
    <w:p w:rsidR="003F4C4F" w:rsidRDefault="00937EF3" w:rsidP="003F4C4F">
      <w:pPr>
        <w:pStyle w:val="ListParagraph"/>
        <w:numPr>
          <w:ilvl w:val="0"/>
          <w:numId w:val="1"/>
        </w:numPr>
      </w:pPr>
      <w:r w:rsidRPr="00937EF3">
        <w:rPr>
          <w:rFonts w:cstheme="minorHAnsi"/>
        </w:rPr>
        <w:t xml:space="preserve">The Fourth Amendment protects the “right of the people to be secure in their persons, houses, papers, and effects, against unreasonable searches and seizures.” Here the accessing </w:t>
      </w:r>
      <w:r w:rsidR="00F3394F">
        <w:rPr>
          <w:rFonts w:cstheme="minorHAnsi"/>
        </w:rPr>
        <w:t xml:space="preserve">a person’s </w:t>
      </w:r>
      <w:r w:rsidR="00F3394F">
        <w:t xml:space="preserve">“paper and effects” </w:t>
      </w:r>
      <w:r w:rsidR="00F3394F">
        <w:t xml:space="preserve">constitutes “a search,” even though those papers are </w:t>
      </w:r>
      <w:r>
        <w:rPr>
          <w:rFonts w:cstheme="minorHAnsi"/>
        </w:rPr>
        <w:t>stored by a third party on behalf of a user</w:t>
      </w:r>
      <w:r w:rsidRPr="00937EF3">
        <w:rPr>
          <w:rFonts w:cstheme="minorHAnsi"/>
        </w:rPr>
        <w:t xml:space="preserve">. </w:t>
      </w:r>
      <w:r w:rsidR="003F4C4F">
        <w:t xml:space="preserve">Thus, Fourth Amendment protection is applied to </w:t>
      </w:r>
      <w:r w:rsidR="003F4C4F">
        <w:t>a person’s</w:t>
      </w:r>
      <w:r w:rsidR="003F4C4F">
        <w:t xml:space="preserve"> </w:t>
      </w:r>
      <w:r w:rsidR="00B70DC0">
        <w:t>“</w:t>
      </w:r>
      <w:r w:rsidR="003F4C4F">
        <w:t>papers</w:t>
      </w:r>
      <w:r w:rsidR="00B70DC0">
        <w:t>”</w:t>
      </w:r>
      <w:r w:rsidR="003F4C4F">
        <w:t xml:space="preserve"> no </w:t>
      </w:r>
      <w:r w:rsidR="003F4C4F">
        <w:t>matter where they reside</w:t>
      </w:r>
      <w:r w:rsidR="00B70DC0">
        <w:t>, or how they are accessed, unless they are made available to the world</w:t>
      </w:r>
      <w:r w:rsidR="003F4C4F">
        <w:t xml:space="preserve">.  </w:t>
      </w:r>
    </w:p>
    <w:p w:rsidR="00937EF3" w:rsidRPr="00937EF3" w:rsidRDefault="00937EF3" w:rsidP="007311CF">
      <w:pPr>
        <w:pStyle w:val="ListParagraph"/>
        <w:numPr>
          <w:ilvl w:val="1"/>
          <w:numId w:val="1"/>
        </w:numPr>
      </w:pPr>
      <w:r w:rsidRPr="003F4C4F">
        <w:rPr>
          <w:rFonts w:cstheme="minorHAnsi"/>
        </w:rPr>
        <w:t xml:space="preserve">This type of encroachment on </w:t>
      </w:r>
      <w:r w:rsidR="003F4C4F">
        <w:rPr>
          <w:rFonts w:cstheme="minorHAnsi"/>
        </w:rPr>
        <w:t>p</w:t>
      </w:r>
      <w:bookmarkStart w:id="0" w:name="_GoBack"/>
      <w:bookmarkEnd w:id="0"/>
      <w:r w:rsidR="003F4C4F">
        <w:rPr>
          <w:rFonts w:cstheme="minorHAnsi"/>
        </w:rPr>
        <w:t xml:space="preserve">ersonal </w:t>
      </w:r>
      <w:r w:rsidR="0060751D">
        <w:rPr>
          <w:rFonts w:cstheme="minorHAnsi"/>
        </w:rPr>
        <w:t>“</w:t>
      </w:r>
      <w:r w:rsidR="003F4C4F">
        <w:rPr>
          <w:rFonts w:cstheme="minorHAnsi"/>
        </w:rPr>
        <w:t>papers</w:t>
      </w:r>
      <w:r w:rsidR="0060751D">
        <w:rPr>
          <w:rFonts w:cstheme="minorHAnsi"/>
        </w:rPr>
        <w:t>”</w:t>
      </w:r>
      <w:r w:rsidRPr="003F4C4F">
        <w:rPr>
          <w:rFonts w:cstheme="minorHAnsi"/>
        </w:rPr>
        <w:t xml:space="preserve"> enumerated in the Amendment would have been considered a search within the meaning of the Amendment at the time it was adopted.</w:t>
      </w:r>
      <w:r w:rsidR="003F4C4F" w:rsidRPr="003F4C4F">
        <w:t xml:space="preserve"> </w:t>
      </w:r>
      <w:r w:rsidR="001215E5">
        <w:t xml:space="preserve"> Today t</w:t>
      </w:r>
      <w:r w:rsidR="003F4C4F">
        <w:t xml:space="preserve">he term “data” is commonly used </w:t>
      </w:r>
      <w:r w:rsidR="001215E5">
        <w:t>i</w:t>
      </w:r>
      <w:r w:rsidR="003F4C4F">
        <w:t xml:space="preserve">n place of </w:t>
      </w:r>
      <w:r w:rsidR="003F4C4F">
        <w:t>“</w:t>
      </w:r>
      <w:r w:rsidR="003F4C4F">
        <w:t>papers.</w:t>
      </w:r>
      <w:r w:rsidR="003F4C4F">
        <w:t>”</w:t>
      </w:r>
      <w:r w:rsidR="003F4C4F">
        <w:t xml:space="preserve">  </w:t>
      </w:r>
    </w:p>
    <w:p w:rsidR="0003666E" w:rsidRDefault="001215E5" w:rsidP="007311CF">
      <w:pPr>
        <w:pStyle w:val="ListParagraph"/>
        <w:numPr>
          <w:ilvl w:val="1"/>
          <w:numId w:val="1"/>
        </w:numPr>
      </w:pPr>
      <w:r>
        <w:t>Furthermore, b</w:t>
      </w:r>
      <w:r w:rsidR="00937EF3">
        <w:t xml:space="preserve">efore computers, persons held papers including letters, calendars, and records in their homes.  Starting about twenty years ago, computers became alternate ways in which to store these records. </w:t>
      </w:r>
      <w:r w:rsidR="0003666E">
        <w:t>At the time records were commonly stored directly on the computer’s hard drive, located inside the home.  This provided a second level of protection under the Fourth Amendment</w:t>
      </w:r>
      <w:r w:rsidR="0060751D">
        <w:t>, under “homes” in addition to</w:t>
      </w:r>
      <w:r w:rsidR="0003666E">
        <w:t xml:space="preserve"> “papers.”</w:t>
      </w:r>
      <w:r w:rsidR="0003666E">
        <w:t xml:space="preserve"> </w:t>
      </w:r>
    </w:p>
    <w:p w:rsidR="007D621E" w:rsidRDefault="007D621E" w:rsidP="007311CF">
      <w:pPr>
        <w:pStyle w:val="ListParagraph"/>
        <w:numPr>
          <w:ilvl w:val="1"/>
          <w:numId w:val="1"/>
        </w:numPr>
      </w:pPr>
      <w:r>
        <w:t xml:space="preserve">If the records are protected by a password, the user’s intent is to keep that information private.  Like a locked briefcase, accessing the information </w:t>
      </w:r>
      <w:r w:rsidR="00C05A8E">
        <w:t xml:space="preserve">that is protected by a password, or otherwise marked as private, </w:t>
      </w:r>
      <w:r>
        <w:t>constitutes a search.</w:t>
      </w:r>
    </w:p>
    <w:p w:rsidR="004B4B4E" w:rsidRDefault="00937EF3" w:rsidP="00937EF3">
      <w:pPr>
        <w:pStyle w:val="ListParagraph"/>
        <w:numPr>
          <w:ilvl w:val="0"/>
          <w:numId w:val="1"/>
        </w:numPr>
      </w:pPr>
      <w:r>
        <w:t>Recently, in order to pr</w:t>
      </w:r>
      <w:r w:rsidR="007D621E">
        <w:t>ovide additional services, persons</w:t>
      </w:r>
      <w:r>
        <w:t xml:space="preserve"> are beginning to commonly use 3</w:t>
      </w:r>
      <w:r w:rsidRPr="00937EF3">
        <w:rPr>
          <w:vertAlign w:val="superscript"/>
        </w:rPr>
        <w:t>rd</w:t>
      </w:r>
      <w:r w:rsidR="007D621E">
        <w:t xml:space="preserve"> party services to </w:t>
      </w:r>
      <w:r w:rsidR="001215E5">
        <w:t>store their “papers”</w:t>
      </w:r>
      <w:r w:rsidR="007D621E">
        <w:t xml:space="preserve">.  These services include webmail services such as Gmail, calendar storage and syncing services such as </w:t>
      </w:r>
      <w:proofErr w:type="spellStart"/>
      <w:r w:rsidR="007D621E">
        <w:t>iCloud</w:t>
      </w:r>
      <w:proofErr w:type="spellEnd"/>
      <w:r w:rsidR="007D621E">
        <w:t xml:space="preserve">, and data storage and synchronization services such as </w:t>
      </w:r>
      <w:proofErr w:type="spellStart"/>
      <w:r w:rsidR="007D621E">
        <w:t>Dropbox</w:t>
      </w:r>
      <w:proofErr w:type="spellEnd"/>
      <w:r w:rsidR="007D621E">
        <w:t>.  These services provide hosting of a persons’ private data</w:t>
      </w:r>
      <w:r w:rsidR="00F3394F">
        <w:t xml:space="preserve"> as an agent of the person</w:t>
      </w:r>
      <w:r w:rsidR="007D621E">
        <w:t xml:space="preserve">.  Just because these services are run by a third party does not change the privacy of the </w:t>
      </w:r>
      <w:r w:rsidR="001D06A3">
        <w:t>information</w:t>
      </w:r>
      <w:r w:rsidR="007D621E">
        <w:t xml:space="preserve"> kept on them.</w:t>
      </w:r>
      <w:r w:rsidR="005C1366">
        <w:t xml:space="preserve">  </w:t>
      </w:r>
    </w:p>
    <w:p w:rsidR="00937EF3" w:rsidRDefault="005C1366" w:rsidP="007311CF">
      <w:pPr>
        <w:pStyle w:val="ListParagraph"/>
        <w:numPr>
          <w:ilvl w:val="1"/>
          <w:numId w:val="1"/>
        </w:numPr>
      </w:pPr>
      <w:r>
        <w:t>This case clarifies</w:t>
      </w:r>
      <w:r w:rsidR="00C05A8E">
        <w:t xml:space="preserve"> the </w:t>
      </w:r>
      <w:r w:rsidR="00C05A8E">
        <w:rPr>
          <w:i/>
        </w:rPr>
        <w:t>third-party doctrine</w:t>
      </w:r>
      <w:r w:rsidR="00C05A8E">
        <w:t xml:space="preserve"> from</w:t>
      </w:r>
      <w:r>
        <w:t xml:space="preserve"> Smith</w:t>
      </w:r>
      <w:r>
        <w:t xml:space="preserve"> v. M</w:t>
      </w:r>
      <w:r>
        <w:t>aryland</w:t>
      </w:r>
      <w:r>
        <w:t>, 442 U.S. 735</w:t>
      </w:r>
      <w:r>
        <w:t>.</w:t>
      </w:r>
      <w:r w:rsidR="004B4B4E">
        <w:t xml:space="preserve">  It extends Fourth Amendment protection the “papers” provided by a user for storage, processing, and/or analysis</w:t>
      </w:r>
      <w:r w:rsidR="00721E8A">
        <w:t xml:space="preserve"> to a third party</w:t>
      </w:r>
      <w:r w:rsidR="004B4B4E">
        <w:t xml:space="preserve">.   </w:t>
      </w:r>
    </w:p>
    <w:p w:rsidR="004B4B4E" w:rsidRDefault="00F276F3" w:rsidP="007311CF">
      <w:pPr>
        <w:pStyle w:val="ListParagraph"/>
        <w:numPr>
          <w:ilvl w:val="1"/>
          <w:numId w:val="1"/>
        </w:numPr>
      </w:pPr>
      <w:r>
        <w:t xml:space="preserve">The </w:t>
      </w:r>
      <w:r>
        <w:rPr>
          <w:i/>
        </w:rPr>
        <w:t>third-party doctrine</w:t>
      </w:r>
      <w:r>
        <w:t xml:space="preserve"> still applies to</w:t>
      </w:r>
      <w:r w:rsidR="004B4B4E">
        <w:t xml:space="preserve"> records generated directly by the third party </w:t>
      </w:r>
      <w:r w:rsidR="00CE090E">
        <w:t>while</w:t>
      </w:r>
      <w:r w:rsidR="004B4B4E">
        <w:t xml:space="preserve"> doing business.  For example, transaction records from</w:t>
      </w:r>
      <w:r w:rsidR="004B4B4E" w:rsidRPr="004B4B4E">
        <w:t xml:space="preserve"> United States v. Miller</w:t>
      </w:r>
      <w:r w:rsidR="004B4B4E">
        <w:t xml:space="preserve"> </w:t>
      </w:r>
      <w:r w:rsidR="00990309">
        <w:t>425</w:t>
      </w:r>
      <w:r w:rsidR="004B4B4E">
        <w:t xml:space="preserve"> U.S. </w:t>
      </w:r>
      <w:r w:rsidR="00990309">
        <w:t>435</w:t>
      </w:r>
      <w:r w:rsidR="004B4B4E">
        <w:t xml:space="preserve"> and </w:t>
      </w:r>
      <w:r w:rsidR="004B4B4E">
        <w:t>Smith v. Maryland, 442 U.S. 735</w:t>
      </w:r>
      <w:r w:rsidR="002741E5">
        <w:t xml:space="preserve"> would still remain the property of their creators – in this case</w:t>
      </w:r>
      <w:r w:rsidR="00D64A10">
        <w:t>,</w:t>
      </w:r>
      <w:r w:rsidR="002741E5">
        <w:t xml:space="preserve"> the businesses producing those records.</w:t>
      </w:r>
    </w:p>
    <w:p w:rsidR="00C05A8E" w:rsidRDefault="007D621E" w:rsidP="0003666E">
      <w:pPr>
        <w:pStyle w:val="ListParagraph"/>
        <w:numPr>
          <w:ilvl w:val="0"/>
          <w:numId w:val="1"/>
        </w:numPr>
      </w:pPr>
      <w:r>
        <w:t>When a person s</w:t>
      </w:r>
      <w:r w:rsidR="007311CF">
        <w:t>igns up for these third party</w:t>
      </w:r>
      <w:r>
        <w:t xml:space="preserve"> services, persons expect that their data is kept private.  In fact, many data providers make claims about the privacy and security of data</w:t>
      </w:r>
      <w:r w:rsidR="00C05A8E">
        <w:t xml:space="preserve"> in both </w:t>
      </w:r>
      <w:r w:rsidR="00C05A8E">
        <w:lastRenderedPageBreak/>
        <w:t>their advertising and terms of service</w:t>
      </w:r>
      <w:r>
        <w:t xml:space="preserve">.  </w:t>
      </w:r>
      <w:r w:rsidR="00C05A8E">
        <w:t>Because of these contractually-agreed terms, a person has expects that the 3</w:t>
      </w:r>
      <w:r w:rsidR="00C05A8E" w:rsidRPr="0003666E">
        <w:rPr>
          <w:vertAlign w:val="superscript"/>
        </w:rPr>
        <w:t>rd</w:t>
      </w:r>
      <w:r w:rsidR="00C05A8E">
        <w:t xml:space="preserve"> party will keep the data private.  A person has a “reasonable expectation of privacy”</w:t>
      </w:r>
      <w:r w:rsidR="0003666E">
        <w:t xml:space="preserve"> as under </w:t>
      </w:r>
      <w:r w:rsidR="0003666E">
        <w:t>Justice Harlan’s concurrence in Katz v. United States, 389</w:t>
      </w:r>
      <w:r w:rsidR="0003666E">
        <w:t xml:space="preserve"> </w:t>
      </w:r>
      <w:r w:rsidR="0003666E">
        <w:t>U. S. 347</w:t>
      </w:r>
      <w:r w:rsidR="0003666E">
        <w:t>.</w:t>
      </w:r>
      <w:r w:rsidR="00C05A8E">
        <w:t xml:space="preserve"> </w:t>
      </w:r>
      <w:r w:rsidR="0003666E">
        <w:t xml:space="preserve"> </w:t>
      </w:r>
      <w:r w:rsidR="00C05A8E">
        <w:t>Accessing that information constitutes a search.</w:t>
      </w:r>
    </w:p>
    <w:p w:rsidR="007D621E" w:rsidRDefault="007D621E" w:rsidP="00B70DC0">
      <w:pPr>
        <w:pStyle w:val="ListParagraph"/>
        <w:numPr>
          <w:ilvl w:val="0"/>
          <w:numId w:val="1"/>
        </w:numPr>
      </w:pPr>
      <w:r>
        <w:t xml:space="preserve">Users may sometimes choose to make data available to select other users, or the general public.  As long as users expect data to remain private to a limited set of people, they do not intend the government to access it, and the data remains protected under the Fourth Amendment.  </w:t>
      </w:r>
      <w:r w:rsidR="00C05A8E">
        <w:t xml:space="preserve">Accessing that data would constitute a search.  </w:t>
      </w:r>
      <w:r>
        <w:t xml:space="preserve">If a user makes data public to the world, then that data loses </w:t>
      </w:r>
      <w:r w:rsidR="00C05A8E">
        <w:t>its Fourth Amendment protection, and accessing it would not constitute a search.</w:t>
      </w:r>
    </w:p>
    <w:p w:rsidR="00C05A8E" w:rsidRDefault="00C05A8E" w:rsidP="005C1366">
      <w:pPr>
        <w:pStyle w:val="ListParagraph"/>
        <w:numPr>
          <w:ilvl w:val="0"/>
          <w:numId w:val="1"/>
        </w:numPr>
      </w:pPr>
      <w:r>
        <w:t>This data is also commonly downloaded on devices located outside the home.  For example, a</w:t>
      </w:r>
      <w:r w:rsidR="007D621E">
        <w:t xml:space="preserve"> person may access his or her </w:t>
      </w:r>
      <w:r>
        <w:t>data</w:t>
      </w:r>
      <w:r w:rsidR="007D621E">
        <w:t xml:space="preserve"> on laptops and cell phones</w:t>
      </w:r>
      <w:r w:rsidR="00F3394F">
        <w:t xml:space="preserve"> owned by the person</w:t>
      </w:r>
      <w:r w:rsidR="007D621E">
        <w:t>.</w:t>
      </w:r>
      <w:r w:rsidR="005C1366">
        <w:t xml:space="preserve">  </w:t>
      </w:r>
      <w:r w:rsidR="00F3394F">
        <w:t>It does not matter if the data is being transmitted to/from the home, or to/from a third party, or</w:t>
      </w:r>
      <w:r w:rsidR="00CF2995">
        <w:t xml:space="preserve"> is</w:t>
      </w:r>
      <w:r w:rsidR="00F3394F">
        <w:t xml:space="preserve"> residing on the device.</w:t>
      </w:r>
      <w:r w:rsidR="0003666E">
        <w:t xml:space="preserve">  It is the data that is protected, not the place or the device on which it is stored.</w:t>
      </w:r>
    </w:p>
    <w:p w:rsidR="00F3394F" w:rsidRDefault="00F3394F" w:rsidP="00B70DC0">
      <w:pPr>
        <w:pStyle w:val="ListParagraph"/>
        <w:numPr>
          <w:ilvl w:val="0"/>
          <w:numId w:val="1"/>
        </w:numPr>
      </w:pPr>
      <w:r>
        <w:t>A person may access their cloud data on devices owned by others.  The data remains private no matter what device it is on.</w:t>
      </w:r>
      <w:r w:rsidR="0003666E">
        <w:t xml:space="preserve">  </w:t>
      </w:r>
      <w:r w:rsidR="0003666E">
        <w:t xml:space="preserve">It is the data that is protected, </w:t>
      </w:r>
      <w:r w:rsidR="0003666E">
        <w:t>not the means with which it is accessed</w:t>
      </w:r>
      <w:r w:rsidR="0003666E">
        <w:t>.</w:t>
      </w:r>
    </w:p>
    <w:p w:rsidR="00B70DC0" w:rsidRDefault="00B70DC0" w:rsidP="00B70DC0">
      <w:pPr>
        <w:pStyle w:val="ListParagraph"/>
        <w:ind w:left="1440"/>
      </w:pPr>
    </w:p>
    <w:p w:rsidR="00900D4B" w:rsidRDefault="00900D4B" w:rsidP="00B70DC0">
      <w:pPr>
        <w:pStyle w:val="ListParagraph"/>
        <w:numPr>
          <w:ilvl w:val="0"/>
          <w:numId w:val="2"/>
        </w:numPr>
        <w:ind w:left="270" w:hanging="270"/>
      </w:pPr>
      <w:proofErr w:type="spellStart"/>
      <w:r>
        <w:t>Botwin</w:t>
      </w:r>
      <w:proofErr w:type="spellEnd"/>
      <w:r>
        <w:t xml:space="preserve"> had stored her personal financial records on her personal computer, protected with a password, using the Quicken software package.  In 2011, </w:t>
      </w:r>
      <w:proofErr w:type="spellStart"/>
      <w:r>
        <w:t>Botwin</w:t>
      </w:r>
      <w:proofErr w:type="spellEnd"/>
      <w:r>
        <w:t xml:space="preserve"> upgraded to the new version of Quicken which integrated with Mint.com.  As part of the migration, </w:t>
      </w:r>
      <w:proofErr w:type="spellStart"/>
      <w:r>
        <w:t>Botwin</w:t>
      </w:r>
      <w:proofErr w:type="spellEnd"/>
      <w:r>
        <w:t xml:space="preserve"> signed up for Mint.com with a password.  She shared the password with her sons and instructed them to keep it private.</w:t>
      </w:r>
    </w:p>
    <w:p w:rsidR="00900D4B" w:rsidRDefault="00900D4B" w:rsidP="00900D4B">
      <w:pPr>
        <w:ind w:left="720"/>
      </w:pPr>
      <w:r>
        <w:t xml:space="preserve">This action is protected because </w:t>
      </w:r>
      <w:proofErr w:type="spellStart"/>
      <w:r>
        <w:t>Botwin</w:t>
      </w:r>
      <w:proofErr w:type="spellEnd"/>
      <w:r>
        <w:t xml:space="preserve"> </w:t>
      </w:r>
      <w:r w:rsidR="004C49DE">
        <w:t>entrusted</w:t>
      </w:r>
      <w:r>
        <w:t xml:space="preserve"> her personal data to Mint.com.  Mint.com </w:t>
      </w:r>
      <w:r w:rsidR="004C49DE">
        <w:t xml:space="preserve">promises that they will keep her data private – her financial data is not disclosed to other people or posted publically.  Only a few members of the Mint staff can access it, and they do so under Mint’s privacy policy.  </w:t>
      </w:r>
      <w:proofErr w:type="spellStart"/>
      <w:r w:rsidR="004C49DE">
        <w:t>Botwin</w:t>
      </w:r>
      <w:proofErr w:type="spellEnd"/>
      <w:r w:rsidR="004C49DE">
        <w:t xml:space="preserve"> intended her “papers” to remain private.</w:t>
      </w:r>
    </w:p>
    <w:p w:rsidR="004C49DE" w:rsidRDefault="004C49DE" w:rsidP="00900D4B">
      <w:pPr>
        <w:ind w:left="720"/>
      </w:pPr>
      <w:proofErr w:type="spellStart"/>
      <w:r>
        <w:t>Botwin</w:t>
      </w:r>
      <w:proofErr w:type="spellEnd"/>
      <w:r>
        <w:t xml:space="preserve"> did share her password with her teenage sons.  However she did this under the explicit understanding that they keep the password private.  This would even apply if there was a tacit understanding that the password would not be shared.</w:t>
      </w:r>
    </w:p>
    <w:p w:rsidR="00900D4B" w:rsidRDefault="004C49DE" w:rsidP="00B70DC0">
      <w:pPr>
        <w:pStyle w:val="ListParagraph"/>
        <w:numPr>
          <w:ilvl w:val="0"/>
          <w:numId w:val="2"/>
        </w:numPr>
        <w:tabs>
          <w:tab w:val="left" w:pos="270"/>
        </w:tabs>
        <w:ind w:left="270" w:hanging="270"/>
      </w:pPr>
      <w:r>
        <w:t xml:space="preserve">When </w:t>
      </w:r>
      <w:proofErr w:type="spellStart"/>
      <w:r>
        <w:t>Botwin</w:t>
      </w:r>
      <w:proofErr w:type="spellEnd"/>
      <w:r>
        <w:t xml:space="preserve"> purchased her iPhone, she signed up for </w:t>
      </w:r>
      <w:proofErr w:type="spellStart"/>
      <w:r>
        <w:t>iCloud</w:t>
      </w:r>
      <w:proofErr w:type="spellEnd"/>
      <w:r>
        <w:t xml:space="preserve">, a service which allows persons to synchronize their calendars between devices.  </w:t>
      </w:r>
      <w:proofErr w:type="spellStart"/>
      <w:proofErr w:type="gramStart"/>
      <w:r>
        <w:t>iCloud</w:t>
      </w:r>
      <w:proofErr w:type="spellEnd"/>
      <w:proofErr w:type="gramEnd"/>
      <w:r>
        <w:t xml:space="preserve"> also allows persons to provide access to others.  </w:t>
      </w:r>
      <w:proofErr w:type="spellStart"/>
      <w:r>
        <w:t>Botwin</w:t>
      </w:r>
      <w:proofErr w:type="spellEnd"/>
      <w:r>
        <w:t xml:space="preserve"> used this feature to share her calendar with her son.</w:t>
      </w:r>
    </w:p>
    <w:p w:rsidR="004C49DE" w:rsidRDefault="004C49DE" w:rsidP="004C49DE">
      <w:pPr>
        <w:ind w:left="720"/>
      </w:pPr>
      <w:proofErr w:type="spellStart"/>
      <w:r>
        <w:t>Botwin</w:t>
      </w:r>
      <w:proofErr w:type="spellEnd"/>
      <w:r>
        <w:t xml:space="preserve"> again entrusted a third party service provider to maintain custody of her “papers.”  In addition, she made her “papers” available to a limited set of third parties – namely her son.  </w:t>
      </w:r>
      <w:proofErr w:type="spellStart"/>
      <w:r>
        <w:t>Botwin</w:t>
      </w:r>
      <w:proofErr w:type="spellEnd"/>
      <w:r>
        <w:t xml:space="preserve"> did not intend and did not provide access to government agents, thus access by them would constitute a “search.”</w:t>
      </w:r>
    </w:p>
    <w:p w:rsidR="004C49DE" w:rsidRDefault="004C49DE" w:rsidP="00B70DC0">
      <w:pPr>
        <w:pStyle w:val="ListParagraph"/>
        <w:numPr>
          <w:ilvl w:val="0"/>
          <w:numId w:val="2"/>
        </w:numPr>
        <w:ind w:left="270" w:hanging="270"/>
      </w:pPr>
      <w:r>
        <w:t xml:space="preserve">As </w:t>
      </w:r>
      <w:proofErr w:type="spellStart"/>
      <w:r>
        <w:t>Botwin</w:t>
      </w:r>
      <w:proofErr w:type="spellEnd"/>
      <w:r>
        <w:t xml:space="preserve"> used the Internet, a number of sites used Google’s advertising platform.  As part of the platform, Google collects information about the pages which </w:t>
      </w:r>
      <w:proofErr w:type="spellStart"/>
      <w:r>
        <w:t>Botwin</w:t>
      </w:r>
      <w:proofErr w:type="spellEnd"/>
      <w:r>
        <w:t xml:space="preserve"> visited.  Google then used this </w:t>
      </w:r>
      <w:proofErr w:type="gramStart"/>
      <w:r>
        <w:lastRenderedPageBreak/>
        <w:t>information</w:t>
      </w:r>
      <w:proofErr w:type="gramEnd"/>
      <w:r>
        <w:t xml:space="preserve"> to </w:t>
      </w:r>
      <w:r w:rsidR="004B4B4E">
        <w:t>build a</w:t>
      </w:r>
      <w:r w:rsidR="00B70DC0">
        <w:t>n</w:t>
      </w:r>
      <w:r w:rsidR="004B4B4E">
        <w:t xml:space="preserve"> interest profile for their Interest Based Advertisements.  </w:t>
      </w:r>
      <w:proofErr w:type="spellStart"/>
      <w:r w:rsidR="004B4B4E">
        <w:t>Botwin</w:t>
      </w:r>
      <w:proofErr w:type="spellEnd"/>
      <w:r w:rsidR="004B4B4E">
        <w:t xml:space="preserve"> claimed to have enabled the “Do Not Track” header in Google Chrome.</w:t>
      </w:r>
    </w:p>
    <w:p w:rsidR="004B4B4E" w:rsidRDefault="004B4B4E" w:rsidP="004B4B4E">
      <w:pPr>
        <w:ind w:left="720"/>
      </w:pPr>
      <w:r>
        <w:t xml:space="preserve">The Interest Based Advertising platform is a business record of Google.  Thus, these records are not subject to Fourth Amendment protection for </w:t>
      </w:r>
      <w:proofErr w:type="spellStart"/>
      <w:r>
        <w:t>Botwin</w:t>
      </w:r>
      <w:proofErr w:type="spellEnd"/>
      <w:r>
        <w:t xml:space="preserve">.  The access of these records does not constitute a search for </w:t>
      </w:r>
      <w:proofErr w:type="spellStart"/>
      <w:r>
        <w:t>Botwin</w:t>
      </w:r>
      <w:proofErr w:type="spellEnd"/>
      <w:r>
        <w:t>.</w:t>
      </w:r>
    </w:p>
    <w:p w:rsidR="004B4B4E" w:rsidRPr="001B62D9" w:rsidRDefault="004B4B4E" w:rsidP="004B4B4E">
      <w:pPr>
        <w:ind w:left="720"/>
      </w:pPr>
    </w:p>
    <w:sectPr w:rsidR="004B4B4E" w:rsidRPr="001B6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518C"/>
    <w:multiLevelType w:val="hybridMultilevel"/>
    <w:tmpl w:val="62062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154FF"/>
    <w:multiLevelType w:val="hybridMultilevel"/>
    <w:tmpl w:val="E4D8DC2E"/>
    <w:lvl w:ilvl="0" w:tplc="7BB8AF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D9"/>
    <w:rsid w:val="0003666E"/>
    <w:rsid w:val="001215E5"/>
    <w:rsid w:val="001B62D9"/>
    <w:rsid w:val="001D06A3"/>
    <w:rsid w:val="002741E5"/>
    <w:rsid w:val="003F4C4F"/>
    <w:rsid w:val="004B4B4E"/>
    <w:rsid w:val="004C49DE"/>
    <w:rsid w:val="005142A8"/>
    <w:rsid w:val="005C1366"/>
    <w:rsid w:val="0060751D"/>
    <w:rsid w:val="00721E8A"/>
    <w:rsid w:val="007311CF"/>
    <w:rsid w:val="007D621E"/>
    <w:rsid w:val="00900D4B"/>
    <w:rsid w:val="00937EF3"/>
    <w:rsid w:val="00990309"/>
    <w:rsid w:val="00AD75DB"/>
    <w:rsid w:val="00B70DC0"/>
    <w:rsid w:val="00C05A8E"/>
    <w:rsid w:val="00CE090E"/>
    <w:rsid w:val="00CF2995"/>
    <w:rsid w:val="00D64A10"/>
    <w:rsid w:val="00F276F3"/>
    <w:rsid w:val="00F3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B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62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2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2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62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37E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5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A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A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A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62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2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2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62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37E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5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A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A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A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Plasmeier</dc:creator>
  <cp:lastModifiedBy>Michael Plasmeier</cp:lastModifiedBy>
  <cp:revision>15</cp:revision>
  <dcterms:created xsi:type="dcterms:W3CDTF">2012-11-04T06:41:00Z</dcterms:created>
  <dcterms:modified xsi:type="dcterms:W3CDTF">2012-11-04T07:24:00Z</dcterms:modified>
</cp:coreProperties>
</file>